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5.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2033A" w14:textId="77777777" w:rsidR="008810A2" w:rsidRDefault="008810A2">
      <w:pPr>
        <w:ind w:firstLine="420"/>
      </w:pPr>
      <w:bookmarkStart w:id="0" w:name="_Toc409699890"/>
      <w:bookmarkStart w:id="1" w:name="_Toc376784057"/>
      <w:bookmarkStart w:id="2" w:name="_Toc409688469"/>
      <w:bookmarkStart w:id="3" w:name="_Toc377486300"/>
      <w:bookmarkStart w:id="4" w:name="_Toc407632502"/>
      <w:bookmarkStart w:id="5" w:name="_Toc440731645"/>
      <w:bookmarkStart w:id="6" w:name="_Toc410122727"/>
      <w:bookmarkStart w:id="7" w:name="_Toc409427121"/>
      <w:bookmarkStart w:id="8" w:name="_Toc409518219"/>
      <w:bookmarkStart w:id="9" w:name="_Toc409426930"/>
      <w:bookmarkStart w:id="10" w:name="_Toc407787836"/>
      <w:bookmarkStart w:id="11" w:name="_Toc409796140"/>
      <w:bookmarkStart w:id="12" w:name="_Toc440720371"/>
      <w:bookmarkStart w:id="13" w:name="_Toc393456477"/>
      <w:bookmarkStart w:id="14" w:name="_Toc345950521"/>
      <w:bookmarkStart w:id="15" w:name="_Toc377551842"/>
      <w:bookmarkStart w:id="16" w:name="_Toc407920488"/>
      <w:bookmarkStart w:id="17" w:name="_Toc407787219"/>
      <w:bookmarkStart w:id="18" w:name="_Toc377549227"/>
      <w:bookmarkStart w:id="19" w:name="_Toc329704197"/>
      <w:bookmarkStart w:id="20" w:name="_Toc393385887"/>
      <w:bookmarkStart w:id="21" w:name="_Toc409079031"/>
      <w:bookmarkStart w:id="22" w:name="_Toc377485499"/>
      <w:bookmarkStart w:id="23" w:name="_Toc535590715"/>
      <w:bookmarkStart w:id="24" w:name="_Toc140568623"/>
      <w:bookmarkStart w:id="25" w:name="_Toc165531049"/>
      <w:bookmarkStart w:id="26" w:name="_Toc170028797"/>
      <w:bookmarkStart w:id="27" w:name="_Toc169939542"/>
      <w:bookmarkStart w:id="28" w:name="_Toc512333436"/>
      <w:bookmarkStart w:id="29" w:name="_Toc512337302"/>
      <w:bookmarkStart w:id="30" w:name="_Toc535593765"/>
      <w:bookmarkStart w:id="31" w:name="_Toc140474239"/>
      <w:bookmarkStart w:id="32" w:name="_Toc535590607"/>
      <w:bookmarkStart w:id="33" w:name="_Toc535590797"/>
      <w:bookmarkStart w:id="34" w:name="_Hlk536430863"/>
    </w:p>
    <w:p w14:paraId="24E29C37" w14:textId="77777777" w:rsidR="008810A2" w:rsidRDefault="008810A2">
      <w:pPr>
        <w:ind w:firstLine="420"/>
      </w:pPr>
    </w:p>
    <w:p w14:paraId="248FC326" w14:textId="77777777" w:rsidR="008810A2" w:rsidRDefault="00D921E0">
      <w:pPr>
        <w:tabs>
          <w:tab w:val="left" w:pos="4922"/>
        </w:tabs>
        <w:spacing w:line="312" w:lineRule="auto"/>
        <w:ind w:leftChars="-135" w:left="-283" w:rightChars="-230" w:right="-483" w:firstLineChars="0" w:firstLine="0"/>
        <w:rPr>
          <w:rFonts w:eastAsia="黑体"/>
          <w:b/>
          <w:bCs/>
          <w:color w:val="000000" w:themeColor="text1"/>
          <w:spacing w:val="-20"/>
          <w:w w:val="90"/>
          <w:sz w:val="72"/>
          <w:szCs w:val="72"/>
        </w:rPr>
      </w:pPr>
      <w:r>
        <w:rPr>
          <w:rFonts w:eastAsia="黑体" w:hint="eastAsia"/>
          <w:b/>
          <w:bCs/>
          <w:color w:val="000000" w:themeColor="text1"/>
          <w:spacing w:val="-20"/>
          <w:w w:val="90"/>
          <w:sz w:val="72"/>
          <w:szCs w:val="72"/>
        </w:rPr>
        <w:tab/>
      </w:r>
    </w:p>
    <w:p w14:paraId="3A3E4220" w14:textId="77777777" w:rsidR="008810A2" w:rsidRDefault="008810A2">
      <w:pPr>
        <w:spacing w:line="312" w:lineRule="auto"/>
        <w:ind w:leftChars="-135" w:left="-283" w:rightChars="-230" w:right="-483" w:firstLineChars="0" w:firstLine="0"/>
        <w:rPr>
          <w:rFonts w:eastAsia="黑体"/>
          <w:b/>
          <w:bCs/>
          <w:color w:val="000000" w:themeColor="text1"/>
          <w:spacing w:val="-20"/>
          <w:w w:val="90"/>
          <w:sz w:val="72"/>
          <w:szCs w:val="72"/>
        </w:rPr>
      </w:pPr>
    </w:p>
    <w:p w14:paraId="017B9DBF" w14:textId="77777777" w:rsidR="008810A2" w:rsidRDefault="00D921E0">
      <w:pPr>
        <w:spacing w:line="720" w:lineRule="auto"/>
        <w:ind w:firstLineChars="0" w:firstLine="0"/>
        <w:jc w:val="center"/>
        <w:rPr>
          <w:rFonts w:eastAsia="黑体"/>
          <w:b/>
          <w:bCs/>
          <w:color w:val="000000" w:themeColor="text1"/>
          <w:spacing w:val="-20"/>
          <w:w w:val="90"/>
          <w:sz w:val="72"/>
          <w:szCs w:val="72"/>
        </w:rPr>
      </w:pPr>
      <w:r>
        <w:rPr>
          <w:rFonts w:eastAsia="黑体"/>
          <w:b/>
          <w:bCs/>
          <w:color w:val="000000" w:themeColor="text1"/>
          <w:spacing w:val="-20"/>
          <w:w w:val="90"/>
          <w:sz w:val="72"/>
          <w:szCs w:val="72"/>
        </w:rPr>
        <w:t>第</w:t>
      </w:r>
      <w:r>
        <w:rPr>
          <w:rFonts w:eastAsia="黑体"/>
          <w:b/>
          <w:bCs/>
          <w:color w:val="000000" w:themeColor="text1"/>
          <w:spacing w:val="-20"/>
          <w:w w:val="90"/>
          <w:sz w:val="72"/>
          <w:szCs w:val="72"/>
        </w:rPr>
        <w:t>5</w:t>
      </w:r>
      <w:r>
        <w:rPr>
          <w:rFonts w:eastAsia="黑体" w:hint="eastAsia"/>
          <w:b/>
          <w:bCs/>
          <w:color w:val="000000" w:themeColor="text1"/>
          <w:spacing w:val="-20"/>
          <w:w w:val="90"/>
          <w:sz w:val="72"/>
          <w:szCs w:val="72"/>
        </w:rPr>
        <w:t>4</w:t>
      </w:r>
      <w:r>
        <w:rPr>
          <w:rFonts w:eastAsia="黑体"/>
          <w:b/>
          <w:bCs/>
          <w:color w:val="000000" w:themeColor="text1"/>
          <w:spacing w:val="-20"/>
          <w:w w:val="90"/>
          <w:sz w:val="72"/>
          <w:szCs w:val="72"/>
        </w:rPr>
        <w:t>次中国互联网络发展状况</w:t>
      </w:r>
    </w:p>
    <w:p w14:paraId="7E5F4CE0" w14:textId="77777777" w:rsidR="008810A2" w:rsidRDefault="00D921E0">
      <w:pPr>
        <w:spacing w:beforeLines="150" w:before="468" w:afterLines="150" w:after="468" w:line="480" w:lineRule="auto"/>
        <w:ind w:firstLineChars="0" w:firstLine="0"/>
        <w:jc w:val="center"/>
        <w:rPr>
          <w:rFonts w:eastAsia="黑体"/>
          <w:b/>
          <w:bCs/>
          <w:color w:val="000000" w:themeColor="text1"/>
          <w:spacing w:val="-20"/>
          <w:w w:val="90"/>
          <w:sz w:val="72"/>
          <w:szCs w:val="72"/>
        </w:rPr>
      </w:pPr>
      <w:r>
        <w:rPr>
          <w:rFonts w:eastAsia="黑体"/>
          <w:b/>
          <w:bCs/>
          <w:color w:val="000000" w:themeColor="text1"/>
          <w:spacing w:val="-20"/>
          <w:w w:val="90"/>
          <w:sz w:val="72"/>
          <w:szCs w:val="72"/>
        </w:rPr>
        <w:t>统计报告</w:t>
      </w:r>
    </w:p>
    <w:p w14:paraId="291518D3" w14:textId="77777777" w:rsidR="008810A2" w:rsidRDefault="008810A2">
      <w:pPr>
        <w:spacing w:beforeLines="150" w:before="468" w:afterLines="150" w:after="468" w:line="480" w:lineRule="auto"/>
        <w:ind w:firstLineChars="0" w:firstLine="0"/>
        <w:jc w:val="center"/>
        <w:rPr>
          <w:rFonts w:eastAsia="黑体"/>
          <w:b/>
          <w:bCs/>
          <w:color w:val="000000" w:themeColor="text1"/>
          <w:spacing w:val="-20"/>
          <w:w w:val="90"/>
          <w:sz w:val="52"/>
          <w:szCs w:val="52"/>
        </w:rPr>
      </w:pPr>
    </w:p>
    <w:p w14:paraId="296627CD" w14:textId="77777777" w:rsidR="008810A2" w:rsidRDefault="008810A2">
      <w:pPr>
        <w:spacing w:beforeLines="150" w:before="468" w:afterLines="150" w:after="468" w:line="480" w:lineRule="auto"/>
        <w:ind w:firstLineChars="0" w:firstLine="0"/>
        <w:jc w:val="center"/>
        <w:rPr>
          <w:rFonts w:eastAsia="黑体"/>
          <w:b/>
          <w:bCs/>
          <w:color w:val="000000" w:themeColor="text1"/>
          <w:spacing w:val="-20"/>
          <w:w w:val="90"/>
          <w:sz w:val="44"/>
          <w:szCs w:val="44"/>
        </w:rPr>
      </w:pPr>
    </w:p>
    <w:p w14:paraId="4F11B272" w14:textId="77777777" w:rsidR="008810A2" w:rsidRDefault="008810A2">
      <w:pPr>
        <w:spacing w:line="312" w:lineRule="auto"/>
        <w:ind w:rightChars="40" w:right="84" w:firstLineChars="0" w:firstLine="0"/>
        <w:jc w:val="center"/>
        <w:rPr>
          <w:rFonts w:eastAsia="黑体"/>
          <w:b/>
          <w:bCs/>
          <w:color w:val="000000" w:themeColor="text1"/>
          <w:spacing w:val="-20"/>
          <w:w w:val="90"/>
          <w:sz w:val="72"/>
          <w:szCs w:val="72"/>
        </w:rPr>
      </w:pPr>
    </w:p>
    <w:p w14:paraId="74F7AA7C" w14:textId="77777777" w:rsidR="008810A2" w:rsidRDefault="008810A2">
      <w:pPr>
        <w:spacing w:line="312" w:lineRule="auto"/>
        <w:ind w:rightChars="40" w:right="84" w:firstLineChars="0" w:firstLine="0"/>
        <w:jc w:val="center"/>
        <w:rPr>
          <w:rFonts w:eastAsia="黑体"/>
          <w:b/>
          <w:bCs/>
          <w:color w:val="000000" w:themeColor="text1"/>
          <w:spacing w:val="-20"/>
          <w:w w:val="90"/>
          <w:sz w:val="48"/>
          <w:szCs w:val="48"/>
        </w:rPr>
      </w:pPr>
    </w:p>
    <w:p w14:paraId="5C54468A" w14:textId="77777777" w:rsidR="008810A2" w:rsidRDefault="008810A2">
      <w:pPr>
        <w:adjustRightInd w:val="0"/>
        <w:snapToGrid w:val="0"/>
        <w:spacing w:line="312" w:lineRule="auto"/>
        <w:ind w:firstLineChars="0" w:firstLine="0"/>
        <w:jc w:val="center"/>
        <w:rPr>
          <w:color w:val="000000" w:themeColor="text1"/>
          <w:sz w:val="30"/>
          <w:szCs w:val="30"/>
        </w:rPr>
      </w:pPr>
    </w:p>
    <w:p w14:paraId="282300C3" w14:textId="77777777" w:rsidR="008810A2" w:rsidRDefault="008810A2">
      <w:pPr>
        <w:adjustRightInd w:val="0"/>
        <w:snapToGrid w:val="0"/>
        <w:spacing w:line="312" w:lineRule="auto"/>
        <w:ind w:firstLineChars="0" w:firstLine="0"/>
        <w:jc w:val="center"/>
        <w:rPr>
          <w:color w:val="000000" w:themeColor="text1"/>
          <w:sz w:val="30"/>
          <w:szCs w:val="30"/>
        </w:rPr>
      </w:pPr>
    </w:p>
    <w:p w14:paraId="61E11081" w14:textId="77777777" w:rsidR="008810A2" w:rsidRDefault="008810A2">
      <w:pPr>
        <w:adjustRightInd w:val="0"/>
        <w:snapToGrid w:val="0"/>
        <w:spacing w:line="312" w:lineRule="auto"/>
        <w:ind w:firstLineChars="0" w:firstLine="0"/>
        <w:jc w:val="center"/>
        <w:rPr>
          <w:color w:val="000000" w:themeColor="text1"/>
          <w:sz w:val="30"/>
          <w:szCs w:val="30"/>
        </w:rPr>
      </w:pPr>
    </w:p>
    <w:p w14:paraId="124312A3" w14:textId="77777777" w:rsidR="008810A2" w:rsidRDefault="00D921E0">
      <w:pPr>
        <w:adjustRightInd w:val="0"/>
        <w:snapToGrid w:val="0"/>
        <w:spacing w:line="312" w:lineRule="auto"/>
        <w:ind w:firstLineChars="0" w:firstLine="0"/>
        <w:jc w:val="center"/>
        <w:rPr>
          <w:color w:val="000000" w:themeColor="text1"/>
          <w:sz w:val="30"/>
          <w:szCs w:val="30"/>
        </w:rPr>
      </w:pPr>
      <w:r>
        <w:rPr>
          <w:color w:val="000000" w:themeColor="text1"/>
          <w:sz w:val="30"/>
          <w:szCs w:val="30"/>
        </w:rPr>
        <w:t>中国互联网络信息中心</w:t>
      </w:r>
    </w:p>
    <w:p w14:paraId="322EAEAA" w14:textId="77777777" w:rsidR="008810A2" w:rsidRDefault="00D921E0">
      <w:pPr>
        <w:adjustRightInd w:val="0"/>
        <w:spacing w:line="312" w:lineRule="auto"/>
        <w:ind w:firstLineChars="0" w:firstLine="0"/>
        <w:jc w:val="center"/>
        <w:rPr>
          <w:color w:val="000000" w:themeColor="text1"/>
          <w:sz w:val="30"/>
          <w:szCs w:val="30"/>
        </w:rPr>
      </w:pPr>
      <w:r>
        <w:rPr>
          <w:color w:val="000000" w:themeColor="text1"/>
          <w:sz w:val="30"/>
          <w:szCs w:val="30"/>
        </w:rPr>
        <w:t>2024</w:t>
      </w:r>
      <w:r>
        <w:rPr>
          <w:color w:val="000000" w:themeColor="text1"/>
          <w:sz w:val="30"/>
          <w:szCs w:val="30"/>
        </w:rPr>
        <w:t>年</w:t>
      </w:r>
      <w:r>
        <w:rPr>
          <w:rFonts w:hint="eastAsia"/>
          <w:color w:val="000000" w:themeColor="text1"/>
          <w:sz w:val="30"/>
          <w:szCs w:val="30"/>
        </w:rPr>
        <w:t>8</w:t>
      </w:r>
      <w:r>
        <w:rPr>
          <w:color w:val="000000" w:themeColor="text1"/>
          <w:sz w:val="30"/>
          <w:szCs w:val="30"/>
        </w:rPr>
        <w:t>月</w:t>
      </w:r>
    </w:p>
    <w:p w14:paraId="43EF731E" w14:textId="77777777" w:rsidR="008810A2" w:rsidRDefault="008810A2">
      <w:pPr>
        <w:adjustRightInd w:val="0"/>
        <w:spacing w:line="312" w:lineRule="auto"/>
        <w:ind w:firstLine="600"/>
        <w:jc w:val="center"/>
        <w:rPr>
          <w:color w:val="000000" w:themeColor="text1"/>
          <w:sz w:val="30"/>
          <w:szCs w:val="30"/>
        </w:rPr>
      </w:pPr>
    </w:p>
    <w:p w14:paraId="54202B0D" w14:textId="77777777" w:rsidR="008810A2" w:rsidRDefault="008810A2">
      <w:pPr>
        <w:spacing w:line="312" w:lineRule="auto"/>
        <w:ind w:firstLine="480"/>
        <w:jc w:val="center"/>
        <w:rPr>
          <w:color w:val="000000" w:themeColor="text1"/>
          <w:sz w:val="24"/>
        </w:rPr>
      </w:pPr>
    </w:p>
    <w:p w14:paraId="712073CD" w14:textId="77777777" w:rsidR="008810A2" w:rsidRDefault="008810A2">
      <w:pPr>
        <w:spacing w:line="312" w:lineRule="auto"/>
        <w:ind w:firstLine="480"/>
        <w:jc w:val="center"/>
        <w:rPr>
          <w:color w:val="000000" w:themeColor="text1"/>
          <w:sz w:val="24"/>
        </w:rPr>
      </w:pPr>
    </w:p>
    <w:p w14:paraId="050776C3" w14:textId="77777777" w:rsidR="008810A2" w:rsidRDefault="008810A2">
      <w:pPr>
        <w:widowControl/>
        <w:ind w:firstLineChars="0" w:firstLine="0"/>
        <w:jc w:val="center"/>
        <w:rPr>
          <w:rFonts w:eastAsia="仿宋_GB2312"/>
          <w:b/>
          <w:color w:val="000000" w:themeColor="text1"/>
          <w:sz w:val="52"/>
          <w:szCs w:val="52"/>
        </w:rPr>
        <w:sectPr w:rsidR="008810A2">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pgNumType w:fmt="upperRoman" w:start="1"/>
          <w:cols w:space="425"/>
          <w:docGrid w:type="lines" w:linePitch="312"/>
        </w:sectPr>
      </w:pPr>
    </w:p>
    <w:p w14:paraId="0A63D0EA" w14:textId="77777777" w:rsidR="008810A2" w:rsidRDefault="00D921E0" w:rsidP="00EA3BCE">
      <w:pPr>
        <w:widowControl/>
        <w:spacing w:beforeLines="80" w:before="249"/>
        <w:ind w:firstLineChars="0" w:firstLine="0"/>
        <w:jc w:val="center"/>
        <w:rPr>
          <w:rFonts w:eastAsia="仿宋_GB2312"/>
          <w:b/>
          <w:color w:val="000000" w:themeColor="text1"/>
          <w:sz w:val="52"/>
          <w:szCs w:val="52"/>
        </w:rPr>
      </w:pPr>
      <w:bookmarkStart w:id="35" w:name="_Toc159229991"/>
      <w:bookmarkStart w:id="36" w:name="_Toc173315429"/>
      <w:bookmarkStart w:id="37" w:name="_Toc159233374"/>
      <w:bookmarkStart w:id="38" w:name="_Toc29340"/>
      <w:bookmarkStart w:id="39" w:name="_Toc157950610"/>
      <w:bookmarkStart w:id="40" w:name="_Toc173311287"/>
      <w:bookmarkStart w:id="41" w:name="_Toc173311184"/>
      <w:bookmarkStart w:id="42" w:name="_Toc156979566"/>
      <w:bookmarkStart w:id="43" w:name="_Toc15923052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Pr>
          <w:rFonts w:eastAsia="仿宋_GB2312"/>
          <w:b/>
          <w:color w:val="000000" w:themeColor="text1"/>
          <w:sz w:val="52"/>
          <w:szCs w:val="52"/>
        </w:rPr>
        <w:lastRenderedPageBreak/>
        <w:t>前</w:t>
      </w:r>
      <w:r>
        <w:rPr>
          <w:rFonts w:eastAsia="仿宋_GB2312"/>
          <w:b/>
          <w:color w:val="000000" w:themeColor="text1"/>
          <w:sz w:val="52"/>
          <w:szCs w:val="52"/>
        </w:rPr>
        <w:t xml:space="preserve">  </w:t>
      </w:r>
      <w:r>
        <w:rPr>
          <w:rFonts w:eastAsia="仿宋_GB2312"/>
          <w:b/>
          <w:color w:val="000000" w:themeColor="text1"/>
          <w:sz w:val="52"/>
          <w:szCs w:val="52"/>
        </w:rPr>
        <w:t>言</w:t>
      </w:r>
      <w:bookmarkEnd w:id="35"/>
      <w:bookmarkEnd w:id="36"/>
      <w:bookmarkEnd w:id="37"/>
      <w:bookmarkEnd w:id="38"/>
      <w:bookmarkEnd w:id="39"/>
      <w:bookmarkEnd w:id="40"/>
      <w:bookmarkEnd w:id="41"/>
      <w:bookmarkEnd w:id="42"/>
      <w:bookmarkEnd w:id="43"/>
    </w:p>
    <w:p w14:paraId="32524BB8" w14:textId="77777777" w:rsidR="008810A2" w:rsidRDefault="00D921E0">
      <w:pPr>
        <w:ind w:firstLine="420"/>
        <w:rPr>
          <w:color w:val="000000" w:themeColor="text1"/>
          <w:szCs w:val="21"/>
        </w:rPr>
      </w:pPr>
      <w:bookmarkStart w:id="44" w:name="_Hlk159583986"/>
      <w:r>
        <w:rPr>
          <w:color w:val="000000" w:themeColor="text1"/>
          <w:szCs w:val="21"/>
        </w:rPr>
        <w:t>自</w:t>
      </w:r>
      <w:r>
        <w:rPr>
          <w:color w:val="000000" w:themeColor="text1"/>
          <w:szCs w:val="21"/>
        </w:rPr>
        <w:t>1997</w:t>
      </w:r>
      <w:r>
        <w:rPr>
          <w:color w:val="000000" w:themeColor="text1"/>
          <w:szCs w:val="21"/>
        </w:rPr>
        <w:t>年起，中国互联网络信息中心（</w:t>
      </w:r>
      <w:r>
        <w:rPr>
          <w:color w:val="000000" w:themeColor="text1"/>
          <w:szCs w:val="21"/>
        </w:rPr>
        <w:t>CNNIC</w:t>
      </w:r>
      <w:r>
        <w:rPr>
          <w:color w:val="000000" w:themeColor="text1"/>
          <w:szCs w:val="21"/>
        </w:rPr>
        <w:t>）定期组织开展中国互联网络发展状况统计调查工作，每年发布两次《中国互联网络发展状况统计报告》（以下简称《报告》），至今已持续发布</w:t>
      </w:r>
      <w:r>
        <w:rPr>
          <w:rFonts w:hint="eastAsia"/>
          <w:color w:val="000000" w:themeColor="text1"/>
          <w:szCs w:val="21"/>
        </w:rPr>
        <w:t>53</w:t>
      </w:r>
      <w:r>
        <w:rPr>
          <w:color w:val="000000" w:themeColor="text1"/>
          <w:szCs w:val="21"/>
        </w:rPr>
        <w:t>次。《报告》力</w:t>
      </w:r>
      <w:r>
        <w:rPr>
          <w:rFonts w:hint="eastAsia"/>
          <w:color w:val="000000" w:themeColor="text1"/>
          <w:szCs w:val="21"/>
        </w:rPr>
        <w:t>图</w:t>
      </w:r>
      <w:r>
        <w:rPr>
          <w:color w:val="000000" w:themeColor="text1"/>
          <w:szCs w:val="21"/>
        </w:rPr>
        <w:t>通过统计数据真实反映我国</w:t>
      </w:r>
      <w:r>
        <w:rPr>
          <w:rFonts w:hint="eastAsia"/>
          <w:color w:val="000000" w:themeColor="text1"/>
          <w:szCs w:val="21"/>
        </w:rPr>
        <w:t>互联网络建设发展历程</w:t>
      </w:r>
      <w:r>
        <w:rPr>
          <w:color w:val="000000" w:themeColor="text1"/>
          <w:szCs w:val="21"/>
        </w:rPr>
        <w:t>，成为我国政府部门、国内外行业机构、专家学者和广大人民群众了解中国互联网发展状况的重要参考。</w:t>
      </w:r>
    </w:p>
    <w:p w14:paraId="1A2F99DA" w14:textId="77777777" w:rsidR="008810A2" w:rsidRDefault="00D921E0">
      <w:pPr>
        <w:ind w:firstLine="420"/>
        <w:rPr>
          <w:color w:val="000000" w:themeColor="text1"/>
          <w:szCs w:val="21"/>
        </w:rPr>
      </w:pPr>
      <w:r>
        <w:rPr>
          <w:rFonts w:hint="eastAsia"/>
          <w:color w:val="000000" w:themeColor="text1"/>
          <w:szCs w:val="21"/>
        </w:rPr>
        <w:t>2024</w:t>
      </w:r>
      <w:r>
        <w:rPr>
          <w:rFonts w:hint="eastAsia"/>
          <w:color w:val="000000" w:themeColor="text1"/>
          <w:szCs w:val="21"/>
        </w:rPr>
        <w:t>年是新中国成立</w:t>
      </w:r>
      <w:r>
        <w:rPr>
          <w:rFonts w:hint="eastAsia"/>
          <w:color w:val="000000" w:themeColor="text1"/>
          <w:szCs w:val="21"/>
        </w:rPr>
        <w:t>75</w:t>
      </w:r>
      <w:r>
        <w:rPr>
          <w:rFonts w:hint="eastAsia"/>
          <w:color w:val="000000" w:themeColor="text1"/>
          <w:szCs w:val="21"/>
        </w:rPr>
        <w:t>周年，是实现“十四五”规划目标任务的关键一年。上半年，</w:t>
      </w:r>
      <w:r>
        <w:rPr>
          <w:color w:val="000000" w:themeColor="text1"/>
          <w:szCs w:val="21"/>
        </w:rPr>
        <w:t>我国互联网发展稳中有进，</w:t>
      </w:r>
      <w:r>
        <w:rPr>
          <w:rFonts w:hint="eastAsia"/>
          <w:color w:val="000000" w:themeColor="text1"/>
          <w:szCs w:val="21"/>
        </w:rPr>
        <w:t>实体经济和数字经济加速融合，网络资源供给持续丰富，数字消费市场培育壮大，应用生态更加完备，</w:t>
      </w:r>
      <w:r>
        <w:rPr>
          <w:color w:val="000000" w:themeColor="text1"/>
          <w:szCs w:val="21"/>
        </w:rPr>
        <w:t>为加快推进新型工业化，</w:t>
      </w:r>
      <w:r>
        <w:rPr>
          <w:rFonts w:hint="eastAsia"/>
          <w:color w:val="000000" w:themeColor="text1"/>
          <w:szCs w:val="21"/>
        </w:rPr>
        <w:t>形成新质生产力发挥积极作用</w:t>
      </w:r>
      <w:r>
        <w:rPr>
          <w:color w:val="000000" w:themeColor="text1"/>
          <w:szCs w:val="21"/>
        </w:rPr>
        <w:t>。</w:t>
      </w:r>
    </w:p>
    <w:p w14:paraId="2F2E0907" w14:textId="77777777" w:rsidR="008810A2" w:rsidRDefault="00D921E0">
      <w:pPr>
        <w:ind w:firstLine="420"/>
        <w:rPr>
          <w:color w:val="000000" w:themeColor="text1"/>
          <w:szCs w:val="21"/>
        </w:rPr>
      </w:pPr>
      <w:r>
        <w:rPr>
          <w:color w:val="000000" w:themeColor="text1"/>
          <w:szCs w:val="21"/>
        </w:rPr>
        <w:t>作为中国互联</w:t>
      </w:r>
      <w:r>
        <w:rPr>
          <w:rFonts w:hint="eastAsia"/>
          <w:color w:val="000000" w:themeColor="text1"/>
          <w:szCs w:val="21"/>
        </w:rPr>
        <w:t>网络建设发展“记录者”</w:t>
      </w:r>
      <w:r>
        <w:rPr>
          <w:color w:val="000000" w:themeColor="text1"/>
          <w:szCs w:val="21"/>
        </w:rPr>
        <w:t>，中国互联网络信息中心持续跟进我国互联网发展历程，不断扩大研究范围，深化研究领域。《报告》围绕互联网基础资源、网民规模、互联网应用等</w:t>
      </w:r>
      <w:r>
        <w:rPr>
          <w:rFonts w:hint="eastAsia"/>
          <w:color w:val="000000" w:themeColor="text1"/>
          <w:szCs w:val="21"/>
        </w:rPr>
        <w:t>三</w:t>
      </w:r>
      <w:r>
        <w:rPr>
          <w:color w:val="000000" w:themeColor="text1"/>
          <w:szCs w:val="21"/>
        </w:rPr>
        <w:t>个方面，力求通过多角度、全方位的数据展现，综合反映</w:t>
      </w:r>
      <w:r>
        <w:rPr>
          <w:color w:val="000000" w:themeColor="text1"/>
          <w:szCs w:val="21"/>
        </w:rPr>
        <w:t>202</w:t>
      </w:r>
      <w:r>
        <w:rPr>
          <w:rFonts w:hint="eastAsia"/>
          <w:color w:val="000000" w:themeColor="text1"/>
          <w:szCs w:val="21"/>
        </w:rPr>
        <w:t>4</w:t>
      </w:r>
      <w:r>
        <w:rPr>
          <w:color w:val="000000" w:themeColor="text1"/>
          <w:szCs w:val="21"/>
        </w:rPr>
        <w:t>年</w:t>
      </w:r>
      <w:r>
        <w:rPr>
          <w:rFonts w:hint="eastAsia"/>
          <w:color w:val="000000" w:themeColor="text1"/>
          <w:szCs w:val="21"/>
        </w:rPr>
        <w:t>上半年</w:t>
      </w:r>
      <w:r>
        <w:rPr>
          <w:color w:val="000000" w:themeColor="text1"/>
          <w:szCs w:val="21"/>
        </w:rPr>
        <w:t>我国互联网发展状况。</w:t>
      </w:r>
    </w:p>
    <w:p w14:paraId="141D1A4D" w14:textId="77777777" w:rsidR="008810A2" w:rsidRDefault="00D921E0">
      <w:pPr>
        <w:ind w:firstLine="420"/>
        <w:rPr>
          <w:color w:val="000000" w:themeColor="text1"/>
          <w:szCs w:val="21"/>
        </w:rPr>
      </w:pPr>
      <w:r>
        <w:rPr>
          <w:color w:val="000000" w:themeColor="text1"/>
          <w:szCs w:val="21"/>
        </w:rPr>
        <w:t>在此，衷心感谢工业和信息化部、国家互联网信息办公室、国家统计局、共青团中央等部门对《报告》的指导。同时，向为本次统计调查工作提供支持的广大机构和网民致以诚挚的谢意</w:t>
      </w:r>
      <w:bookmarkEnd w:id="44"/>
      <w:r>
        <w:rPr>
          <w:color w:val="000000" w:themeColor="text1"/>
          <w:szCs w:val="21"/>
        </w:rPr>
        <w:t>！</w:t>
      </w:r>
    </w:p>
    <w:p w14:paraId="3B86BDC3" w14:textId="77777777" w:rsidR="008810A2" w:rsidRDefault="008810A2">
      <w:pPr>
        <w:ind w:firstLine="420"/>
        <w:jc w:val="right"/>
        <w:rPr>
          <w:color w:val="000000" w:themeColor="text1"/>
          <w:szCs w:val="21"/>
        </w:rPr>
      </w:pPr>
    </w:p>
    <w:p w14:paraId="3B2AA7C0" w14:textId="77777777" w:rsidR="008810A2" w:rsidRDefault="008810A2">
      <w:pPr>
        <w:ind w:firstLine="420"/>
        <w:jc w:val="right"/>
        <w:rPr>
          <w:color w:val="000000" w:themeColor="text1"/>
          <w:szCs w:val="21"/>
        </w:rPr>
      </w:pPr>
    </w:p>
    <w:p w14:paraId="6E723648" w14:textId="77777777" w:rsidR="008810A2" w:rsidRDefault="00D921E0">
      <w:pPr>
        <w:ind w:firstLine="420"/>
        <w:jc w:val="right"/>
        <w:rPr>
          <w:color w:val="000000" w:themeColor="text1"/>
          <w:szCs w:val="21"/>
        </w:rPr>
      </w:pPr>
      <w:r>
        <w:rPr>
          <w:color w:val="000000" w:themeColor="text1"/>
          <w:szCs w:val="21"/>
        </w:rPr>
        <w:t>中国互联网络信息中心</w:t>
      </w:r>
    </w:p>
    <w:p w14:paraId="2E995793" w14:textId="77777777" w:rsidR="008810A2" w:rsidRDefault="00D921E0">
      <w:pPr>
        <w:ind w:firstLine="420"/>
        <w:jc w:val="right"/>
        <w:rPr>
          <w:color w:val="000000" w:themeColor="text1"/>
          <w:szCs w:val="21"/>
        </w:rPr>
      </w:pPr>
      <w:r>
        <w:rPr>
          <w:color w:val="000000" w:themeColor="text1"/>
          <w:szCs w:val="21"/>
        </w:rPr>
        <w:t>2024</w:t>
      </w:r>
      <w:r>
        <w:rPr>
          <w:color w:val="000000" w:themeColor="text1"/>
          <w:szCs w:val="21"/>
        </w:rPr>
        <w:t>年</w:t>
      </w:r>
      <w:r>
        <w:rPr>
          <w:rFonts w:hint="eastAsia"/>
          <w:color w:val="000000" w:themeColor="text1"/>
          <w:szCs w:val="21"/>
        </w:rPr>
        <w:t>8</w:t>
      </w:r>
      <w:r>
        <w:rPr>
          <w:color w:val="000000" w:themeColor="text1"/>
          <w:szCs w:val="21"/>
        </w:rPr>
        <w:t>月</w:t>
      </w:r>
    </w:p>
    <w:p w14:paraId="4BC18023" w14:textId="77777777" w:rsidR="008810A2" w:rsidRDefault="008810A2">
      <w:pPr>
        <w:ind w:firstLine="420"/>
        <w:jc w:val="right"/>
        <w:rPr>
          <w:color w:val="000000" w:themeColor="text1"/>
          <w:szCs w:val="21"/>
        </w:rPr>
      </w:pPr>
    </w:p>
    <w:p w14:paraId="595DA178" w14:textId="77777777" w:rsidR="008810A2" w:rsidRDefault="008810A2">
      <w:pPr>
        <w:ind w:firstLine="420"/>
      </w:pPr>
    </w:p>
    <w:p w14:paraId="780861DD" w14:textId="77777777" w:rsidR="008810A2" w:rsidRDefault="008810A2">
      <w:pPr>
        <w:ind w:left="108" w:right="525" w:firstLineChars="2176" w:firstLine="4570"/>
        <w:jc w:val="right"/>
        <w:rPr>
          <w:color w:val="000000" w:themeColor="text1"/>
        </w:rPr>
        <w:sectPr w:rsidR="008810A2">
          <w:headerReference w:type="even" r:id="rId22"/>
          <w:headerReference w:type="default" r:id="rId23"/>
          <w:footerReference w:type="even" r:id="rId24"/>
          <w:footerReference w:type="default" r:id="rId25"/>
          <w:headerReference w:type="first" r:id="rId26"/>
          <w:pgSz w:w="11906" w:h="16838"/>
          <w:pgMar w:top="1440" w:right="1800" w:bottom="1440" w:left="1800" w:header="851" w:footer="992" w:gutter="0"/>
          <w:pgNumType w:fmt="upperRoman" w:start="1"/>
          <w:cols w:space="425"/>
          <w:docGrid w:type="lines" w:linePitch="312"/>
        </w:sectPr>
      </w:pPr>
    </w:p>
    <w:p w14:paraId="749F635A" w14:textId="77777777" w:rsidR="008810A2" w:rsidRDefault="00D921E0">
      <w:pPr>
        <w:ind w:left="108" w:right="525" w:firstLineChars="2176" w:firstLine="4570"/>
        <w:jc w:val="right"/>
        <w:rPr>
          <w:color w:val="000000" w:themeColor="text1"/>
        </w:rPr>
      </w:pPr>
      <w:r>
        <w:rPr>
          <w:noProof/>
          <w:color w:val="000000" w:themeColor="text1"/>
        </w:rPr>
        <w:lastRenderedPageBreak/>
        <mc:AlternateContent>
          <mc:Choice Requires="wps">
            <w:drawing>
              <wp:anchor distT="0" distB="0" distL="114300" distR="114300" simplePos="0" relativeHeight="251673600" behindDoc="0" locked="0" layoutInCell="1" allowOverlap="1" wp14:anchorId="62BBA6EC" wp14:editId="53FF9396">
                <wp:simplePos x="0" y="0"/>
                <wp:positionH relativeFrom="column">
                  <wp:posOffset>-183515</wp:posOffset>
                </wp:positionH>
                <wp:positionV relativeFrom="paragraph">
                  <wp:posOffset>-706120</wp:posOffset>
                </wp:positionV>
                <wp:extent cx="6467475" cy="10125075"/>
                <wp:effectExtent l="0" t="0" r="9525" b="9525"/>
                <wp:wrapNone/>
                <wp:docPr id="1102187293" name="文本框 1"/>
                <wp:cNvGraphicFramePr/>
                <a:graphic xmlns:a="http://schemas.openxmlformats.org/drawingml/2006/main">
                  <a:graphicData uri="http://schemas.microsoft.com/office/word/2010/wordprocessingShape">
                    <wps:wsp>
                      <wps:cNvSpPr txBox="1"/>
                      <wps:spPr>
                        <a:xfrm>
                          <a:off x="0" y="0"/>
                          <a:ext cx="6467707" cy="10125307"/>
                        </a:xfrm>
                        <a:prstGeom prst="rect">
                          <a:avLst/>
                        </a:prstGeom>
                        <a:solidFill>
                          <a:schemeClr val="lt1"/>
                        </a:solidFill>
                        <a:ln w="6350">
                          <a:noFill/>
                        </a:ln>
                      </wps:spPr>
                      <wps:txbx>
                        <w:txbxContent>
                          <w:p w14:paraId="4303E95B" w14:textId="77777777" w:rsidR="008810A2" w:rsidRDefault="008810A2">
                            <w:pPr>
                              <w:ind w:firstLine="42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du="http://schemas.microsoft.com/office/word/2023/wordml/word16du">
            <w:pict>
              <v:shapetype w14:anchorId="62BBA6EC" id="_x0000_t202" coordsize="21600,21600" o:spt="202" path="m,l,21600r21600,l21600,xe">
                <v:stroke joinstyle="miter"/>
                <v:path gradientshapeok="t" o:connecttype="rect"/>
              </v:shapetype>
              <v:shape id="文本框 1" o:spid="_x0000_s1026" type="#_x0000_t202" style="position:absolute;left:0;text-align:left;margin-left:-14.45pt;margin-top:-55.6pt;width:509.25pt;height:797.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" fillcolor="white [3201]" stroked="f" strokeweight=".5pt">
                <v:textbox>
                  <w:txbxContent>
                    <w:p w14:paraId="4303E95B" w14:textId="77777777" w:rsidR="008810A2" w:rsidRDefault="008810A2">
                      <w:pPr>
                        <w:ind w:firstLine="420"/>
                      </w:pPr>
                    </w:p>
                  </w:txbxContent>
                </v:textbox>
              </v:shape>
            </w:pict>
          </mc:Fallback>
        </mc:AlternateContent>
      </w:r>
      <w:r>
        <w:rPr>
          <w:color w:val="000000" w:themeColor="text1"/>
        </w:rPr>
        <w:br w:type="page"/>
      </w:r>
    </w:p>
    <w:p w14:paraId="21B36E81" w14:textId="77777777" w:rsidR="008810A2" w:rsidRDefault="008810A2">
      <w:pPr>
        <w:ind w:firstLine="420"/>
        <w:rPr>
          <w:color w:val="000000" w:themeColor="text1"/>
        </w:rPr>
        <w:sectPr w:rsidR="008810A2">
          <w:pgSz w:w="11906" w:h="16838"/>
          <w:pgMar w:top="1440" w:right="1800" w:bottom="1440" w:left="1800" w:header="851" w:footer="992" w:gutter="0"/>
          <w:pgNumType w:fmt="upperRoman" w:start="1"/>
          <w:cols w:space="425"/>
          <w:docGrid w:type="lines" w:linePitch="312"/>
        </w:sectPr>
      </w:pPr>
    </w:p>
    <w:bookmarkStart w:id="45" w:name="_Toc62801362" w:displacedByCustomXml="next"/>
    <w:bookmarkStart w:id="46" w:name="_Toc76981094" w:displacedByCustomXml="next"/>
    <w:bookmarkStart w:id="47" w:name="_Toc35010978" w:displacedByCustomXml="next"/>
    <w:bookmarkStart w:id="48" w:name="_Toc44487620" w:displacedByCustomXml="next"/>
    <w:bookmarkStart w:id="49" w:name="_Toc409518220" w:displacedByCustomXml="next"/>
    <w:bookmarkStart w:id="50" w:name="_Toc377486301" w:displacedByCustomXml="next"/>
    <w:bookmarkStart w:id="51" w:name="_Toc77690071" w:displacedByCustomXml="next"/>
    <w:bookmarkStart w:id="52" w:name="_Toc17098344" w:displacedByCustomXml="next"/>
    <w:bookmarkStart w:id="53" w:name="_Toc16845783" w:displacedByCustomXml="next"/>
    <w:bookmarkStart w:id="54" w:name="_Toc36720920" w:displacedByCustomXml="next"/>
    <w:bookmarkStart w:id="55" w:name="_Toc78300134" w:displacedByCustomXml="next"/>
    <w:bookmarkStart w:id="56" w:name="_Toc80695603" w:displacedByCustomXml="next"/>
    <w:bookmarkStart w:id="57" w:name="_Toc409796141" w:displacedByCustomXml="next"/>
    <w:bookmarkStart w:id="58" w:name="_Toc77681137" w:displacedByCustomXml="next"/>
    <w:bookmarkStart w:id="59" w:name="_Toc78528919" w:displacedByCustomXml="next"/>
    <w:bookmarkStart w:id="60" w:name="_Toc15306355" w:displacedByCustomXml="next"/>
    <w:bookmarkStart w:id="61" w:name="_Toc28072590" w:displacedByCustomXml="next"/>
    <w:bookmarkStart w:id="62" w:name="_Toc49938766" w:displacedByCustomXml="next"/>
    <w:bookmarkStart w:id="63" w:name="_Toc34292917" w:displacedByCustomXml="next"/>
    <w:bookmarkStart w:id="64" w:name="_Toc80695695" w:displacedByCustomXml="next"/>
    <w:bookmarkStart w:id="65" w:name="_Toc78288962" w:displacedByCustomXml="next"/>
    <w:bookmarkStart w:id="66" w:name="_Toc15661011" w:displacedByCustomXml="next"/>
    <w:bookmarkStart w:id="67" w:name="_Toc377485500" w:displacedByCustomXml="next"/>
    <w:bookmarkStart w:id="68" w:name="_Toc16234449" w:displacedByCustomXml="next"/>
    <w:bookmarkStart w:id="69" w:name="_Toc156979567" w:displacedByCustomXml="next"/>
    <w:bookmarkStart w:id="70" w:name="_Toc77950139" w:displacedByCustomXml="next"/>
    <w:bookmarkStart w:id="71" w:name="_Toc410122728" w:displacedByCustomXml="next"/>
    <w:bookmarkStart w:id="72" w:name="_Toc13588591" w:displacedByCustomXml="next"/>
    <w:bookmarkStart w:id="73" w:name="_Toc407787220" w:displacedByCustomXml="next"/>
    <w:bookmarkStart w:id="74" w:name="_Toc36294919" w:displacedByCustomXml="next"/>
    <w:bookmarkStart w:id="75" w:name="_Toc409079032" w:displacedByCustomXml="next"/>
    <w:bookmarkStart w:id="76" w:name="_Toc80111272" w:displacedByCustomXml="next"/>
    <w:bookmarkStart w:id="77" w:name="_Toc80886819" w:displacedByCustomXml="next"/>
    <w:bookmarkStart w:id="78" w:name="_Toc407632503" w:displacedByCustomXml="next"/>
    <w:bookmarkStart w:id="79" w:name="_Toc15404548" w:displacedByCustomXml="next"/>
    <w:bookmarkStart w:id="80" w:name="_Toc78382952" w:displacedByCustomXml="next"/>
    <w:bookmarkStart w:id="81" w:name="_Toc16346331" w:displacedByCustomXml="next"/>
    <w:bookmarkStart w:id="82" w:name="_Toc80809353" w:displacedByCustomXml="next"/>
    <w:bookmarkStart w:id="83" w:name="_Toc407920489" w:displacedByCustomXml="next"/>
    <w:bookmarkStart w:id="84" w:name="_Toc377549228" w:displacedByCustomXml="next"/>
    <w:bookmarkStart w:id="85" w:name="_Toc50045020" w:displacedByCustomXml="next"/>
    <w:bookmarkStart w:id="86" w:name="_Toc80778678" w:displacedByCustomXml="next"/>
    <w:bookmarkStart w:id="87" w:name="_Toc37749824" w:displacedByCustomXml="next"/>
    <w:bookmarkStart w:id="88" w:name="_Toc62048766" w:displacedByCustomXml="next"/>
    <w:bookmarkStart w:id="89" w:name="_Toc62458439" w:displacedByCustomXml="next"/>
    <w:bookmarkStart w:id="90" w:name="_Toc36015921" w:displacedByCustomXml="next"/>
    <w:bookmarkStart w:id="91" w:name="_Toc409427122" w:displacedByCustomXml="next"/>
    <w:bookmarkStart w:id="92" w:name="_Toc377551843" w:displacedByCustomXml="next"/>
    <w:bookmarkStart w:id="93" w:name="_Toc345950522" w:displacedByCustomXml="next"/>
    <w:bookmarkStart w:id="94" w:name="_Toc409426931" w:displacedByCustomXml="next"/>
    <w:bookmarkStart w:id="95" w:name="_Toc17043868" w:displacedByCustomXml="next"/>
    <w:bookmarkStart w:id="96" w:name="_Toc17129165" w:displacedByCustomXml="next"/>
    <w:bookmarkStart w:id="97" w:name="_Toc80877301" w:displacedByCustomXml="next"/>
    <w:bookmarkStart w:id="98" w:name="_Toc77577444" w:displacedByCustomXml="next"/>
    <w:bookmarkStart w:id="99" w:name="_Toc77594856" w:displacedByCustomXml="next"/>
    <w:bookmarkStart w:id="100" w:name="_Toc51771103" w:displacedByCustomXml="next"/>
    <w:bookmarkStart w:id="101" w:name="_Toc77947793" w:displacedByCustomXml="next"/>
    <w:bookmarkStart w:id="102" w:name="_Toc14342770" w:displacedByCustomXml="next"/>
    <w:bookmarkStart w:id="103" w:name="_Toc17044240" w:displacedByCustomXml="next"/>
    <w:bookmarkStart w:id="104" w:name="_Toc13588298" w:displacedByCustomXml="next"/>
    <w:bookmarkStart w:id="105" w:name="_Toc34312701" w:displacedByCustomXml="next"/>
    <w:bookmarkStart w:id="106" w:name="_Toc13747363" w:displacedByCustomXml="next"/>
    <w:bookmarkStart w:id="107" w:name="_Toc17104795" w:displacedByCustomXml="next"/>
    <w:bookmarkStart w:id="108" w:name="_Toc50115968" w:displacedByCustomXml="next"/>
    <w:bookmarkStart w:id="109" w:name="_Toc22714507" w:displacedByCustomXml="next"/>
    <w:bookmarkStart w:id="110" w:name="_Toc76980977" w:displacedByCustomXml="next"/>
    <w:bookmarkStart w:id="111" w:name="_Toc51327144" w:displacedByCustomXml="next"/>
    <w:bookmarkStart w:id="112" w:name="_Toc16244072" w:displacedByCustomXml="next"/>
    <w:bookmarkStart w:id="113" w:name="_Toc80887530" w:displacedByCustomXml="next"/>
    <w:bookmarkStart w:id="114" w:name="_Toc15404921" w:displacedByCustomXml="next"/>
    <w:bookmarkStart w:id="115" w:name="_Toc79565211" w:displacedByCustomXml="next"/>
    <w:bookmarkStart w:id="116" w:name="_Toc17053372" w:displacedByCustomXml="next"/>
    <w:bookmarkStart w:id="117" w:name="_Toc409688470" w:displacedByCustomXml="next"/>
    <w:bookmarkStart w:id="118" w:name="_Toc16079354" w:displacedByCustomXml="next"/>
    <w:bookmarkStart w:id="119" w:name="_Toc22715126" w:displacedByCustomXml="next"/>
    <w:bookmarkStart w:id="120" w:name="_Toc16845883" w:displacedByCustomXml="next"/>
    <w:bookmarkStart w:id="121" w:name="_Toc14160850" w:displacedByCustomXml="next"/>
    <w:bookmarkStart w:id="122" w:name="_Toc35246568" w:displacedByCustomXml="next"/>
    <w:bookmarkStart w:id="123" w:name="_Toc77948918" w:displacedByCustomXml="next"/>
    <w:bookmarkStart w:id="124" w:name="_Toc77748299" w:displacedByCustomXml="next"/>
    <w:bookmarkStart w:id="125" w:name="_Toc61866467" w:displacedByCustomXml="next"/>
    <w:bookmarkStart w:id="126" w:name="_Toc407787837" w:displacedByCustomXml="next"/>
    <w:bookmarkStart w:id="127" w:name="_Toc33191217" w:displacedByCustomXml="next"/>
    <w:bookmarkStart w:id="128" w:name="_Toc440442700" w:displacedByCustomXml="next"/>
    <w:bookmarkStart w:id="129" w:name="_Toc77779311" w:displacedByCustomXml="next"/>
    <w:bookmarkStart w:id="130" w:name="_Toc409699891" w:displacedByCustomXml="next"/>
    <w:bookmarkStart w:id="131" w:name="_Toc75165248" w:displacedByCustomXml="next"/>
    <w:bookmarkStart w:id="132" w:name="_Toc15569618" w:displacedByCustomXml="next"/>
    <w:bookmarkStart w:id="133" w:name="_Toc61350936" w:displacedByCustomXml="next"/>
    <w:bookmarkStart w:id="134" w:name="_Toc11153204" w:displacedByCustomXml="next"/>
    <w:bookmarkStart w:id="135" w:name="_Toc35930182" w:displacedByCustomXml="next"/>
    <w:sdt>
      <w:sdtPr>
        <w:rPr>
          <w:sz w:val="52"/>
          <w:szCs w:val="52"/>
        </w:rPr>
        <w:id w:val="19180947"/>
        <w:docPartObj>
          <w:docPartGallery w:val="Table of Contents"/>
          <w:docPartUnique/>
        </w:docPartObj>
      </w:sdtPr>
      <w:sdtEndPr>
        <w:rPr>
          <w:sz w:val="28"/>
          <w:szCs w:val="28"/>
        </w:rPr>
      </w:sdtEndPr>
      <w:sdtContent>
        <w:sdt>
          <w:sdtPr>
            <w:rPr>
              <w:sz w:val="52"/>
              <w:szCs w:val="52"/>
            </w:rPr>
            <w:id w:val="6440798"/>
            <w:docPartObj>
              <w:docPartGallery w:val="Table of Contents"/>
              <w:docPartUnique/>
            </w:docPartObj>
          </w:sdtPr>
          <w:sdtEndPr>
            <w:rPr>
              <w:sz w:val="28"/>
              <w:szCs w:val="28"/>
            </w:rPr>
          </w:sdtEndPr>
          <w:sdtContent>
            <w:sdt>
              <w:sdtPr>
                <w:rPr>
                  <w:sz w:val="52"/>
                  <w:szCs w:val="52"/>
                </w:rPr>
                <w:id w:val="9795693"/>
                <w:docPartObj>
                  <w:docPartGallery w:val="Table of Contents"/>
                  <w:docPartUnique/>
                </w:docPartObj>
              </w:sdtPr>
              <w:sdtEndPr>
                <w:rPr>
                  <w:sz w:val="28"/>
                  <w:szCs w:val="28"/>
                </w:rPr>
              </w:sdtEndPr>
              <w:sdtContent>
                <w:p w14:paraId="7BA3199C" w14:textId="77777777" w:rsidR="008810A2" w:rsidRPr="008A57AE" w:rsidRDefault="00D921E0">
                  <w:pPr>
                    <w:pStyle w:val="TOC1"/>
                    <w:rPr>
                      <w:noProof/>
                    </w:rPr>
                  </w:pPr>
                  <w:r>
                    <w:rPr>
                      <w:sz w:val="52"/>
                      <w:szCs w:val="52"/>
                    </w:rPr>
                    <w:t>目</w:t>
                  </w:r>
                  <w:r>
                    <w:rPr>
                      <w:sz w:val="52"/>
                      <w:szCs w:val="52"/>
                    </w:rPr>
                    <w:t xml:space="preserve">  </w:t>
                  </w:r>
                  <w:r>
                    <w:rPr>
                      <w:sz w:val="52"/>
                      <w:szCs w:val="52"/>
                    </w:rPr>
                    <w:t>录</w:t>
                  </w:r>
                  <w:bookmarkEnd w:id="135"/>
                  <w:bookmarkEnd w:id="134"/>
                  <w:bookmarkEnd w:id="133"/>
                  <w:bookmarkEnd w:id="132"/>
                  <w:bookmarkEnd w:id="131"/>
                  <w:bookmarkEnd w:id="130"/>
                  <w:bookmarkEnd w:id="129"/>
                  <w:bookmarkEnd w:id="128"/>
                  <w:bookmarkEnd w:id="127"/>
                  <w:bookmarkEnd w:id="126"/>
                  <w:bookmarkEnd w:id="125"/>
                  <w:bookmarkEnd w:id="124"/>
                  <w:bookmarkEnd w:id="123"/>
                  <w:bookmarkEnd w:id="122"/>
                  <w:bookmarkEnd w:id="121"/>
                  <w:bookmarkEnd w:id="120"/>
                  <w:bookmarkEnd w:id="119"/>
                  <w:bookmarkEnd w:id="118"/>
                  <w:bookmarkEnd w:id="117"/>
                  <w:bookmarkEnd w:id="116"/>
                  <w:bookmarkEnd w:id="115"/>
                  <w:bookmarkEnd w:id="114"/>
                  <w:bookmarkEnd w:id="113"/>
                  <w:bookmarkEnd w:id="112"/>
                  <w:bookmarkEnd w:id="111"/>
                  <w:bookmarkEnd w:id="110"/>
                  <w:bookmarkEnd w:id="109"/>
                  <w:bookmarkEnd w:id="108"/>
                  <w:bookmarkEnd w:id="107"/>
                  <w:bookmarkEnd w:id="106"/>
                  <w:bookmarkEnd w:id="105"/>
                  <w:bookmarkEnd w:id="104"/>
                  <w:bookmarkEnd w:id="103"/>
                  <w:bookmarkEnd w:id="102"/>
                  <w:bookmarkEnd w:id="101"/>
                  <w:bookmarkEnd w:id="100"/>
                  <w:bookmarkEnd w:id="99"/>
                  <w:bookmarkEnd w:id="98"/>
                  <w:bookmarkEnd w:id="97"/>
                  <w:bookmarkEnd w:id="96"/>
                  <w:bookmarkEnd w:id="95"/>
                  <w:bookmarkEnd w:id="94"/>
                  <w:bookmarkEnd w:id="93"/>
                  <w:bookmarkEnd w:id="92"/>
                  <w:bookmarkEnd w:id="91"/>
                  <w:bookmarkEnd w:id="90"/>
                  <w:bookmarkEnd w:id="89"/>
                  <w:bookmarkEnd w:id="88"/>
                  <w:bookmarkEnd w:id="87"/>
                  <w:bookmarkEnd w:id="86"/>
                  <w:bookmarkEnd w:id="85"/>
                  <w:bookmarkEnd w:id="84"/>
                  <w:bookmarkEnd w:id="83"/>
                  <w:bookmarkEnd w:id="82"/>
                  <w:bookmarkEnd w:id="81"/>
                  <w:bookmarkEnd w:id="80"/>
                  <w:bookmarkEnd w:id="79"/>
                  <w:bookmarkEnd w:id="78"/>
                  <w:bookmarkEnd w:id="77"/>
                  <w:bookmarkEnd w:id="76"/>
                  <w:bookmarkEnd w:id="75"/>
                  <w:bookmarkEnd w:id="74"/>
                  <w:bookmarkEnd w:id="73"/>
                  <w:bookmarkEnd w:id="72"/>
                  <w:bookmarkEnd w:id="71"/>
                  <w:bookmarkEnd w:id="70"/>
                  <w:bookmarkEnd w:id="69"/>
                  <w:bookmarkEnd w:id="68"/>
                  <w:bookmarkEnd w:id="67"/>
                  <w:bookmarkEnd w:id="66"/>
                  <w:bookmarkEnd w:id="65"/>
                  <w:bookmarkEnd w:id="64"/>
                  <w:bookmarkEnd w:id="63"/>
                  <w:bookmarkEnd w:id="62"/>
                  <w:bookmarkEnd w:id="61"/>
                  <w:bookmarkEnd w:id="60"/>
                  <w:bookmarkEnd w:id="59"/>
                  <w:bookmarkEnd w:id="58"/>
                  <w:bookmarkEnd w:id="57"/>
                  <w:bookmarkEnd w:id="56"/>
                  <w:bookmarkEnd w:id="55"/>
                  <w:bookmarkEnd w:id="54"/>
                  <w:bookmarkEnd w:id="53"/>
                  <w:bookmarkEnd w:id="52"/>
                  <w:bookmarkEnd w:id="51"/>
                  <w:bookmarkEnd w:id="50"/>
                  <w:bookmarkEnd w:id="49"/>
                  <w:bookmarkEnd w:id="48"/>
                  <w:bookmarkEnd w:id="47"/>
                  <w:bookmarkEnd w:id="46"/>
                  <w:bookmarkEnd w:id="45"/>
                  <w:r>
                    <w:fldChar w:fldCharType="begin"/>
                  </w:r>
                  <w:r>
                    <w:instrText xml:space="preserve"> TOC \o "1-3" \h \z \u </w:instrText>
                  </w:r>
                  <w:r>
                    <w:fldChar w:fldCharType="separate"/>
                  </w:r>
                </w:p>
                <w:p w14:paraId="3B1A7234" w14:textId="7091DBA2" w:rsidR="008810A2" w:rsidRPr="008A57AE" w:rsidRDefault="00000000">
                  <w:pPr>
                    <w:pStyle w:val="TOC1"/>
                    <w:rPr>
                      <w:rFonts w:eastAsiaTheme="minorEastAsia"/>
                      <w:b w:val="0"/>
                      <w:bCs w:val="0"/>
                      <w:caps w:val="0"/>
                      <w:noProof/>
                      <w:sz w:val="21"/>
                      <w:szCs w:val="22"/>
                      <w14:ligatures w14:val="standardContextual"/>
                    </w:rPr>
                  </w:pPr>
                  <w:hyperlink w:anchor="_Toc175065687" w:history="1">
                    <w:r w:rsidR="00D921E0" w:rsidRPr="008A57AE">
                      <w:rPr>
                        <w:rStyle w:val="affc"/>
                        <w:noProof/>
                      </w:rPr>
                      <w:t>核心数据</w:t>
                    </w:r>
                    <w:r w:rsidR="00D921E0" w:rsidRPr="008A57AE">
                      <w:rPr>
                        <w:noProof/>
                      </w:rPr>
                      <w:tab/>
                    </w:r>
                    <w:r w:rsidR="00D921E0" w:rsidRPr="008A57AE">
                      <w:rPr>
                        <w:noProof/>
                      </w:rPr>
                      <w:fldChar w:fldCharType="begin"/>
                    </w:r>
                    <w:r w:rsidR="00D921E0" w:rsidRPr="008A57AE">
                      <w:rPr>
                        <w:noProof/>
                      </w:rPr>
                      <w:instrText xml:space="preserve"> PAGEREF _Toc175065687 \h </w:instrText>
                    </w:r>
                    <w:r w:rsidR="00D921E0" w:rsidRPr="008A57AE">
                      <w:rPr>
                        <w:noProof/>
                      </w:rPr>
                    </w:r>
                    <w:r w:rsidR="00D921E0" w:rsidRPr="008A57AE">
                      <w:rPr>
                        <w:noProof/>
                      </w:rPr>
                      <w:fldChar w:fldCharType="separate"/>
                    </w:r>
                    <w:r w:rsidR="00A057C8">
                      <w:rPr>
                        <w:noProof/>
                      </w:rPr>
                      <w:t>1</w:t>
                    </w:r>
                    <w:r w:rsidR="00D921E0" w:rsidRPr="008A57AE">
                      <w:rPr>
                        <w:noProof/>
                      </w:rPr>
                      <w:fldChar w:fldCharType="end"/>
                    </w:r>
                  </w:hyperlink>
                </w:p>
                <w:p w14:paraId="009C0A8A" w14:textId="0C254BF4" w:rsidR="008810A2" w:rsidRPr="008A57AE" w:rsidRDefault="00000000">
                  <w:pPr>
                    <w:pStyle w:val="TOC1"/>
                    <w:rPr>
                      <w:rFonts w:eastAsiaTheme="minorEastAsia"/>
                      <w:b w:val="0"/>
                      <w:bCs w:val="0"/>
                      <w:caps w:val="0"/>
                      <w:noProof/>
                      <w:sz w:val="21"/>
                      <w:szCs w:val="22"/>
                      <w14:ligatures w14:val="standardContextual"/>
                    </w:rPr>
                  </w:pPr>
                  <w:hyperlink w:anchor="_Toc175065688" w:history="1">
                    <w:r w:rsidR="00D921E0" w:rsidRPr="008A57AE">
                      <w:rPr>
                        <w:rStyle w:val="affc"/>
                        <w:noProof/>
                      </w:rPr>
                      <w:t>第一章</w:t>
                    </w:r>
                    <w:r w:rsidR="00D921E0" w:rsidRPr="008A57AE">
                      <w:rPr>
                        <w:rStyle w:val="affc"/>
                        <w:noProof/>
                      </w:rPr>
                      <w:t xml:space="preserve"> </w:t>
                    </w:r>
                    <w:r w:rsidR="00D921E0" w:rsidRPr="008A57AE">
                      <w:rPr>
                        <w:rStyle w:val="affc"/>
                        <w:noProof/>
                      </w:rPr>
                      <w:t>互联网基础资源发展及应用状况</w:t>
                    </w:r>
                    <w:r w:rsidR="00D921E0" w:rsidRPr="008A57AE">
                      <w:rPr>
                        <w:noProof/>
                      </w:rPr>
                      <w:tab/>
                    </w:r>
                    <w:r w:rsidR="00D921E0" w:rsidRPr="008A57AE">
                      <w:rPr>
                        <w:noProof/>
                      </w:rPr>
                      <w:fldChar w:fldCharType="begin"/>
                    </w:r>
                    <w:r w:rsidR="00D921E0" w:rsidRPr="008A57AE">
                      <w:rPr>
                        <w:noProof/>
                      </w:rPr>
                      <w:instrText xml:space="preserve"> PAGEREF _Toc175065688 \h </w:instrText>
                    </w:r>
                    <w:r w:rsidR="00D921E0" w:rsidRPr="008A57AE">
                      <w:rPr>
                        <w:noProof/>
                      </w:rPr>
                    </w:r>
                    <w:r w:rsidR="00D921E0" w:rsidRPr="008A57AE">
                      <w:rPr>
                        <w:noProof/>
                      </w:rPr>
                      <w:fldChar w:fldCharType="separate"/>
                    </w:r>
                    <w:r w:rsidR="00A057C8">
                      <w:rPr>
                        <w:noProof/>
                      </w:rPr>
                      <w:t>3</w:t>
                    </w:r>
                    <w:r w:rsidR="00D921E0" w:rsidRPr="008A57AE">
                      <w:rPr>
                        <w:noProof/>
                      </w:rPr>
                      <w:fldChar w:fldCharType="end"/>
                    </w:r>
                  </w:hyperlink>
                </w:p>
                <w:p w14:paraId="7D4CF4D8" w14:textId="54ACF0F0"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689" w:history="1">
                    <w:r w:rsidR="00D921E0" w:rsidRPr="008A57AE">
                      <w:rPr>
                        <w:rStyle w:val="affc"/>
                        <w:rFonts w:ascii="Times New Roman" w:hAnsi="Times New Roman"/>
                        <w:noProof/>
                      </w:rPr>
                      <w:t>一、</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互联网基础资源发展状况</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_Toc175065689 \h </w:instrText>
                    </w:r>
                    <w:r w:rsidR="00D921E0" w:rsidRPr="008A57AE">
                      <w:rPr>
                        <w:rFonts w:ascii="Times New Roman" w:hAnsi="Times New Roman"/>
                        <w:noProof/>
                      </w:rPr>
                    </w:r>
                    <w:r w:rsidR="00D921E0" w:rsidRPr="008A57AE">
                      <w:rPr>
                        <w:rFonts w:ascii="Times New Roman" w:hAnsi="Times New Roman"/>
                        <w:noProof/>
                      </w:rPr>
                      <w:fldChar w:fldCharType="separate"/>
                    </w:r>
                    <w:r w:rsidR="00A057C8">
                      <w:rPr>
                        <w:rFonts w:ascii="Times New Roman" w:hAnsi="Times New Roman"/>
                        <w:noProof/>
                      </w:rPr>
                      <w:t>3</w:t>
                    </w:r>
                    <w:r w:rsidR="00D921E0" w:rsidRPr="008A57AE">
                      <w:rPr>
                        <w:rFonts w:ascii="Times New Roman" w:hAnsi="Times New Roman"/>
                        <w:noProof/>
                      </w:rPr>
                      <w:fldChar w:fldCharType="end"/>
                    </w:r>
                  </w:hyperlink>
                </w:p>
                <w:p w14:paraId="0C5A02D3" w14:textId="74DF0EAB" w:rsidR="008810A2" w:rsidRPr="008A57AE" w:rsidRDefault="00000000">
                  <w:pPr>
                    <w:pStyle w:val="TOC3"/>
                    <w:rPr>
                      <w:rFonts w:eastAsiaTheme="minorEastAsia"/>
                      <w:iCs w:val="0"/>
                      <w:noProof/>
                      <w:sz w:val="21"/>
                      <w:szCs w:val="22"/>
                      <w14:ligatures w14:val="standardContextual"/>
                    </w:rPr>
                  </w:pPr>
                  <w:hyperlink w:anchor="_Toc175065690" w:history="1">
                    <w:r w:rsidR="00D921E0" w:rsidRPr="008A57AE">
                      <w:rPr>
                        <w:rStyle w:val="affc"/>
                        <w:rFonts w:eastAsia="楷体_GB2312"/>
                        <w:noProof/>
                      </w:rPr>
                      <w:t>（一）</w:t>
                    </w:r>
                    <w:r w:rsidR="00D921E0" w:rsidRPr="008A57AE">
                      <w:rPr>
                        <w:rStyle w:val="affc"/>
                        <w:rFonts w:eastAsia="楷体_GB2312"/>
                        <w:noProof/>
                      </w:rPr>
                      <w:t xml:space="preserve"> IP</w:t>
                    </w:r>
                    <w:r w:rsidR="00D921E0" w:rsidRPr="008A57AE">
                      <w:rPr>
                        <w:rStyle w:val="affc"/>
                        <w:rFonts w:eastAsia="楷体_GB2312"/>
                        <w:noProof/>
                      </w:rPr>
                      <w:t>地址</w:t>
                    </w:r>
                    <w:r w:rsidR="00D921E0" w:rsidRPr="008A57AE">
                      <w:rPr>
                        <w:noProof/>
                      </w:rPr>
                      <w:tab/>
                    </w:r>
                    <w:r w:rsidR="00D921E0" w:rsidRPr="008A57AE">
                      <w:rPr>
                        <w:noProof/>
                      </w:rPr>
                      <w:fldChar w:fldCharType="begin"/>
                    </w:r>
                    <w:r w:rsidR="00D921E0" w:rsidRPr="008A57AE">
                      <w:rPr>
                        <w:noProof/>
                      </w:rPr>
                      <w:instrText xml:space="preserve"> PAGEREF _Toc175065690 \h </w:instrText>
                    </w:r>
                    <w:r w:rsidR="00D921E0" w:rsidRPr="008A57AE">
                      <w:rPr>
                        <w:noProof/>
                      </w:rPr>
                    </w:r>
                    <w:r w:rsidR="00D921E0" w:rsidRPr="008A57AE">
                      <w:rPr>
                        <w:noProof/>
                      </w:rPr>
                      <w:fldChar w:fldCharType="separate"/>
                    </w:r>
                    <w:r w:rsidR="00A057C8">
                      <w:rPr>
                        <w:noProof/>
                      </w:rPr>
                      <w:t>4</w:t>
                    </w:r>
                    <w:r w:rsidR="00D921E0" w:rsidRPr="008A57AE">
                      <w:rPr>
                        <w:noProof/>
                      </w:rPr>
                      <w:fldChar w:fldCharType="end"/>
                    </w:r>
                  </w:hyperlink>
                </w:p>
                <w:p w14:paraId="742B1D82" w14:textId="13DE1C8F" w:rsidR="008810A2" w:rsidRPr="008A57AE" w:rsidRDefault="00000000">
                  <w:pPr>
                    <w:pStyle w:val="TOC3"/>
                    <w:rPr>
                      <w:rFonts w:eastAsiaTheme="minorEastAsia"/>
                      <w:iCs w:val="0"/>
                      <w:noProof/>
                      <w:sz w:val="21"/>
                      <w:szCs w:val="22"/>
                      <w14:ligatures w14:val="standardContextual"/>
                    </w:rPr>
                  </w:pPr>
                  <w:hyperlink w:anchor="_Toc175065691"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域名</w:t>
                    </w:r>
                    <w:r w:rsidR="00D921E0" w:rsidRPr="008A57AE">
                      <w:rPr>
                        <w:noProof/>
                      </w:rPr>
                      <w:tab/>
                    </w:r>
                    <w:r w:rsidR="00D921E0" w:rsidRPr="008A57AE">
                      <w:rPr>
                        <w:noProof/>
                      </w:rPr>
                      <w:fldChar w:fldCharType="begin"/>
                    </w:r>
                    <w:r w:rsidR="00D921E0" w:rsidRPr="008A57AE">
                      <w:rPr>
                        <w:noProof/>
                      </w:rPr>
                      <w:instrText xml:space="preserve"> PAGEREF _Toc175065691 \h </w:instrText>
                    </w:r>
                    <w:r w:rsidR="00D921E0" w:rsidRPr="008A57AE">
                      <w:rPr>
                        <w:noProof/>
                      </w:rPr>
                    </w:r>
                    <w:r w:rsidR="00D921E0" w:rsidRPr="008A57AE">
                      <w:rPr>
                        <w:noProof/>
                      </w:rPr>
                      <w:fldChar w:fldCharType="separate"/>
                    </w:r>
                    <w:r w:rsidR="00A057C8">
                      <w:rPr>
                        <w:noProof/>
                      </w:rPr>
                      <w:t>5</w:t>
                    </w:r>
                    <w:r w:rsidR="00D921E0" w:rsidRPr="008A57AE">
                      <w:rPr>
                        <w:noProof/>
                      </w:rPr>
                      <w:fldChar w:fldCharType="end"/>
                    </w:r>
                  </w:hyperlink>
                </w:p>
                <w:p w14:paraId="351801A8" w14:textId="00003A32" w:rsidR="008810A2" w:rsidRPr="008A57AE" w:rsidRDefault="00000000">
                  <w:pPr>
                    <w:pStyle w:val="TOC3"/>
                    <w:rPr>
                      <w:rFonts w:eastAsiaTheme="minorEastAsia"/>
                      <w:iCs w:val="0"/>
                      <w:noProof/>
                      <w:sz w:val="21"/>
                      <w:szCs w:val="22"/>
                      <w14:ligatures w14:val="standardContextual"/>
                    </w:rPr>
                  </w:pPr>
                  <w:hyperlink w:anchor="_Toc175065692"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移动电话基站数量</w:t>
                    </w:r>
                    <w:r w:rsidR="00D921E0" w:rsidRPr="008A57AE">
                      <w:rPr>
                        <w:noProof/>
                      </w:rPr>
                      <w:tab/>
                    </w:r>
                    <w:r w:rsidR="00D921E0" w:rsidRPr="008A57AE">
                      <w:rPr>
                        <w:noProof/>
                      </w:rPr>
                      <w:fldChar w:fldCharType="begin"/>
                    </w:r>
                    <w:r w:rsidR="00D921E0" w:rsidRPr="008A57AE">
                      <w:rPr>
                        <w:noProof/>
                      </w:rPr>
                      <w:instrText xml:space="preserve"> PAGEREF _Toc175065692 \h </w:instrText>
                    </w:r>
                    <w:r w:rsidR="00D921E0" w:rsidRPr="008A57AE">
                      <w:rPr>
                        <w:noProof/>
                      </w:rPr>
                    </w:r>
                    <w:r w:rsidR="00D921E0" w:rsidRPr="008A57AE">
                      <w:rPr>
                        <w:noProof/>
                      </w:rPr>
                      <w:fldChar w:fldCharType="separate"/>
                    </w:r>
                    <w:r w:rsidR="00A057C8">
                      <w:rPr>
                        <w:noProof/>
                      </w:rPr>
                      <w:t>7</w:t>
                    </w:r>
                    <w:r w:rsidR="00D921E0" w:rsidRPr="008A57AE">
                      <w:rPr>
                        <w:noProof/>
                      </w:rPr>
                      <w:fldChar w:fldCharType="end"/>
                    </w:r>
                  </w:hyperlink>
                </w:p>
                <w:p w14:paraId="75046691" w14:textId="6167A042" w:rsidR="008810A2" w:rsidRPr="008A57AE" w:rsidRDefault="00000000">
                  <w:pPr>
                    <w:pStyle w:val="TOC3"/>
                    <w:rPr>
                      <w:rFonts w:eastAsiaTheme="minorEastAsia"/>
                      <w:iCs w:val="0"/>
                      <w:noProof/>
                      <w:sz w:val="21"/>
                      <w:szCs w:val="22"/>
                      <w14:ligatures w14:val="standardContextual"/>
                    </w:rPr>
                  </w:pPr>
                  <w:hyperlink w:anchor="_Toc175065693" w:history="1">
                    <w:r w:rsidR="00D921E0" w:rsidRPr="008A57AE">
                      <w:rPr>
                        <w:rStyle w:val="affc"/>
                        <w:rFonts w:eastAsia="楷体_GB2312"/>
                        <w:noProof/>
                      </w:rPr>
                      <w:t>（四）</w:t>
                    </w:r>
                    <w:r w:rsidR="00D921E0" w:rsidRPr="008A57AE">
                      <w:rPr>
                        <w:rStyle w:val="affc"/>
                        <w:rFonts w:eastAsia="楷体_GB2312"/>
                        <w:noProof/>
                      </w:rPr>
                      <w:t xml:space="preserve"> </w:t>
                    </w:r>
                    <w:r w:rsidR="00D921E0" w:rsidRPr="008A57AE">
                      <w:rPr>
                        <w:rStyle w:val="affc"/>
                        <w:rFonts w:eastAsia="楷体_GB2312"/>
                        <w:noProof/>
                      </w:rPr>
                      <w:t>互联网宽带接入端口数量</w:t>
                    </w:r>
                    <w:r w:rsidR="00D921E0" w:rsidRPr="008A57AE">
                      <w:rPr>
                        <w:noProof/>
                      </w:rPr>
                      <w:tab/>
                    </w:r>
                    <w:r w:rsidR="00D921E0" w:rsidRPr="008A57AE">
                      <w:rPr>
                        <w:noProof/>
                      </w:rPr>
                      <w:fldChar w:fldCharType="begin"/>
                    </w:r>
                    <w:r w:rsidR="00D921E0" w:rsidRPr="008A57AE">
                      <w:rPr>
                        <w:noProof/>
                      </w:rPr>
                      <w:instrText xml:space="preserve"> PAGEREF _Toc175065693 \h </w:instrText>
                    </w:r>
                    <w:r w:rsidR="00D921E0" w:rsidRPr="008A57AE">
                      <w:rPr>
                        <w:noProof/>
                      </w:rPr>
                    </w:r>
                    <w:r w:rsidR="00D921E0" w:rsidRPr="008A57AE">
                      <w:rPr>
                        <w:noProof/>
                      </w:rPr>
                      <w:fldChar w:fldCharType="separate"/>
                    </w:r>
                    <w:r w:rsidR="00A057C8">
                      <w:rPr>
                        <w:noProof/>
                      </w:rPr>
                      <w:t>7</w:t>
                    </w:r>
                    <w:r w:rsidR="00D921E0" w:rsidRPr="008A57AE">
                      <w:rPr>
                        <w:noProof/>
                      </w:rPr>
                      <w:fldChar w:fldCharType="end"/>
                    </w:r>
                  </w:hyperlink>
                </w:p>
                <w:p w14:paraId="44DFAF07" w14:textId="31DEDFB9" w:rsidR="008810A2" w:rsidRPr="008A57AE" w:rsidRDefault="00000000">
                  <w:pPr>
                    <w:pStyle w:val="TOC3"/>
                    <w:rPr>
                      <w:rFonts w:eastAsiaTheme="minorEastAsia"/>
                      <w:iCs w:val="0"/>
                      <w:noProof/>
                      <w:sz w:val="21"/>
                      <w:szCs w:val="22"/>
                      <w14:ligatures w14:val="standardContextual"/>
                    </w:rPr>
                  </w:pPr>
                  <w:hyperlink w:anchor="_Toc175065694" w:history="1">
                    <w:r w:rsidR="00D921E0" w:rsidRPr="008A57AE">
                      <w:rPr>
                        <w:rStyle w:val="affc"/>
                        <w:rFonts w:eastAsia="楷体_GB2312"/>
                        <w:noProof/>
                      </w:rPr>
                      <w:t>（五）</w:t>
                    </w:r>
                    <w:r w:rsidR="00D921E0" w:rsidRPr="008A57AE">
                      <w:rPr>
                        <w:rStyle w:val="affc"/>
                        <w:rFonts w:eastAsia="楷体_GB2312"/>
                        <w:noProof/>
                      </w:rPr>
                      <w:t xml:space="preserve"> </w:t>
                    </w:r>
                    <w:r w:rsidR="00D921E0" w:rsidRPr="008A57AE">
                      <w:rPr>
                        <w:rStyle w:val="affc"/>
                        <w:rFonts w:eastAsia="楷体_GB2312"/>
                        <w:noProof/>
                      </w:rPr>
                      <w:t>光缆线路总长度</w:t>
                    </w:r>
                    <w:r w:rsidR="00D921E0" w:rsidRPr="008A57AE">
                      <w:rPr>
                        <w:noProof/>
                      </w:rPr>
                      <w:tab/>
                    </w:r>
                    <w:r w:rsidR="00D921E0" w:rsidRPr="008A57AE">
                      <w:rPr>
                        <w:noProof/>
                      </w:rPr>
                      <w:fldChar w:fldCharType="begin"/>
                    </w:r>
                    <w:r w:rsidR="00D921E0" w:rsidRPr="008A57AE">
                      <w:rPr>
                        <w:noProof/>
                      </w:rPr>
                      <w:instrText xml:space="preserve"> PAGEREF _Toc175065694 \h </w:instrText>
                    </w:r>
                    <w:r w:rsidR="00D921E0" w:rsidRPr="008A57AE">
                      <w:rPr>
                        <w:noProof/>
                      </w:rPr>
                    </w:r>
                    <w:r w:rsidR="00D921E0" w:rsidRPr="008A57AE">
                      <w:rPr>
                        <w:noProof/>
                      </w:rPr>
                      <w:fldChar w:fldCharType="separate"/>
                    </w:r>
                    <w:r w:rsidR="00A057C8">
                      <w:rPr>
                        <w:noProof/>
                      </w:rPr>
                      <w:t>8</w:t>
                    </w:r>
                    <w:r w:rsidR="00D921E0" w:rsidRPr="008A57AE">
                      <w:rPr>
                        <w:noProof/>
                      </w:rPr>
                      <w:fldChar w:fldCharType="end"/>
                    </w:r>
                  </w:hyperlink>
                </w:p>
                <w:p w14:paraId="544A7E2D" w14:textId="10978F0C"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695" w:history="1">
                    <w:r w:rsidR="00D921E0" w:rsidRPr="008A57AE">
                      <w:rPr>
                        <w:rStyle w:val="affc"/>
                        <w:rFonts w:ascii="Times New Roman" w:hAnsi="Times New Roman"/>
                        <w:noProof/>
                      </w:rPr>
                      <w:t>二、</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互联网基础资源应用状况</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_Toc175065695 \h </w:instrText>
                    </w:r>
                    <w:r w:rsidR="00D921E0" w:rsidRPr="008A57AE">
                      <w:rPr>
                        <w:rFonts w:ascii="Times New Roman" w:hAnsi="Times New Roman"/>
                        <w:noProof/>
                      </w:rPr>
                    </w:r>
                    <w:r w:rsidR="00D921E0" w:rsidRPr="008A57AE">
                      <w:rPr>
                        <w:rFonts w:ascii="Times New Roman" w:hAnsi="Times New Roman"/>
                        <w:noProof/>
                      </w:rPr>
                      <w:fldChar w:fldCharType="separate"/>
                    </w:r>
                    <w:r w:rsidR="00A057C8">
                      <w:rPr>
                        <w:rFonts w:ascii="Times New Roman" w:hAnsi="Times New Roman"/>
                        <w:noProof/>
                      </w:rPr>
                      <w:t>9</w:t>
                    </w:r>
                    <w:r w:rsidR="00D921E0" w:rsidRPr="008A57AE">
                      <w:rPr>
                        <w:rFonts w:ascii="Times New Roman" w:hAnsi="Times New Roman"/>
                        <w:noProof/>
                      </w:rPr>
                      <w:fldChar w:fldCharType="end"/>
                    </w:r>
                  </w:hyperlink>
                </w:p>
                <w:p w14:paraId="48D76DFF" w14:textId="31987C07" w:rsidR="008810A2" w:rsidRPr="008A57AE" w:rsidRDefault="00000000">
                  <w:pPr>
                    <w:pStyle w:val="TOC3"/>
                    <w:rPr>
                      <w:rFonts w:eastAsiaTheme="minorEastAsia"/>
                      <w:iCs w:val="0"/>
                      <w:noProof/>
                      <w:sz w:val="21"/>
                      <w:szCs w:val="22"/>
                      <w14:ligatures w14:val="standardContextual"/>
                    </w:rPr>
                  </w:pPr>
                  <w:hyperlink w:anchor="_Toc175065696"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网站</w:t>
                    </w:r>
                    <w:r w:rsidR="00D921E0" w:rsidRPr="008A57AE">
                      <w:rPr>
                        <w:noProof/>
                      </w:rPr>
                      <w:tab/>
                    </w:r>
                    <w:r w:rsidR="00D921E0" w:rsidRPr="008A57AE">
                      <w:rPr>
                        <w:noProof/>
                      </w:rPr>
                      <w:fldChar w:fldCharType="begin"/>
                    </w:r>
                    <w:r w:rsidR="00D921E0" w:rsidRPr="008A57AE">
                      <w:rPr>
                        <w:noProof/>
                      </w:rPr>
                      <w:instrText xml:space="preserve"> PAGEREF _Toc175065696 \h </w:instrText>
                    </w:r>
                    <w:r w:rsidR="00D921E0" w:rsidRPr="008A57AE">
                      <w:rPr>
                        <w:noProof/>
                      </w:rPr>
                    </w:r>
                    <w:r w:rsidR="00D921E0" w:rsidRPr="008A57AE">
                      <w:rPr>
                        <w:noProof/>
                      </w:rPr>
                      <w:fldChar w:fldCharType="separate"/>
                    </w:r>
                    <w:r w:rsidR="00A057C8">
                      <w:rPr>
                        <w:noProof/>
                      </w:rPr>
                      <w:t>9</w:t>
                    </w:r>
                    <w:r w:rsidR="00D921E0" w:rsidRPr="008A57AE">
                      <w:rPr>
                        <w:noProof/>
                      </w:rPr>
                      <w:fldChar w:fldCharType="end"/>
                    </w:r>
                  </w:hyperlink>
                </w:p>
                <w:p w14:paraId="0BA3ADD3" w14:textId="084C42DF" w:rsidR="008810A2" w:rsidRPr="008A57AE" w:rsidRDefault="00000000">
                  <w:pPr>
                    <w:pStyle w:val="TOC3"/>
                    <w:rPr>
                      <w:rFonts w:eastAsiaTheme="minorEastAsia"/>
                      <w:iCs w:val="0"/>
                      <w:noProof/>
                      <w:sz w:val="21"/>
                      <w:szCs w:val="22"/>
                      <w14:ligatures w14:val="standardContextual"/>
                    </w:rPr>
                  </w:pPr>
                  <w:hyperlink w:anchor="_Toc175065697"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移动互联网接入流量</w:t>
                    </w:r>
                    <w:r w:rsidR="00D921E0" w:rsidRPr="008A57AE">
                      <w:rPr>
                        <w:noProof/>
                      </w:rPr>
                      <w:tab/>
                    </w:r>
                    <w:r w:rsidR="00D921E0" w:rsidRPr="008A57AE">
                      <w:rPr>
                        <w:noProof/>
                      </w:rPr>
                      <w:fldChar w:fldCharType="begin"/>
                    </w:r>
                    <w:r w:rsidR="00D921E0" w:rsidRPr="008A57AE">
                      <w:rPr>
                        <w:noProof/>
                      </w:rPr>
                      <w:instrText xml:space="preserve"> PAGEREF _Toc175065697 \h </w:instrText>
                    </w:r>
                    <w:r w:rsidR="00D921E0" w:rsidRPr="008A57AE">
                      <w:rPr>
                        <w:noProof/>
                      </w:rPr>
                    </w:r>
                    <w:r w:rsidR="00D921E0" w:rsidRPr="008A57AE">
                      <w:rPr>
                        <w:noProof/>
                      </w:rPr>
                      <w:fldChar w:fldCharType="separate"/>
                    </w:r>
                    <w:r w:rsidR="00A057C8">
                      <w:rPr>
                        <w:noProof/>
                      </w:rPr>
                      <w:t>10</w:t>
                    </w:r>
                    <w:r w:rsidR="00D921E0" w:rsidRPr="008A57AE">
                      <w:rPr>
                        <w:noProof/>
                      </w:rPr>
                      <w:fldChar w:fldCharType="end"/>
                    </w:r>
                  </w:hyperlink>
                </w:p>
                <w:p w14:paraId="2150377E" w14:textId="61F6E4B1" w:rsidR="008810A2" w:rsidRPr="008A57AE" w:rsidRDefault="00000000">
                  <w:pPr>
                    <w:pStyle w:val="TOC3"/>
                    <w:rPr>
                      <w:rFonts w:eastAsiaTheme="minorEastAsia"/>
                      <w:iCs w:val="0"/>
                      <w:noProof/>
                      <w:sz w:val="21"/>
                      <w:szCs w:val="22"/>
                      <w14:ligatures w14:val="standardContextual"/>
                    </w:rPr>
                  </w:pPr>
                  <w:hyperlink w:anchor="_Toc175065698"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上网时长</w:t>
                    </w:r>
                    <w:r w:rsidR="00D921E0" w:rsidRPr="008A57AE">
                      <w:rPr>
                        <w:noProof/>
                      </w:rPr>
                      <w:tab/>
                    </w:r>
                    <w:r w:rsidR="00D921E0" w:rsidRPr="008A57AE">
                      <w:rPr>
                        <w:noProof/>
                      </w:rPr>
                      <w:fldChar w:fldCharType="begin"/>
                    </w:r>
                    <w:r w:rsidR="00D921E0" w:rsidRPr="008A57AE">
                      <w:rPr>
                        <w:noProof/>
                      </w:rPr>
                      <w:instrText xml:space="preserve"> PAGEREF _Toc175065698 \h </w:instrText>
                    </w:r>
                    <w:r w:rsidR="00D921E0" w:rsidRPr="008A57AE">
                      <w:rPr>
                        <w:noProof/>
                      </w:rPr>
                    </w:r>
                    <w:r w:rsidR="00D921E0" w:rsidRPr="008A57AE">
                      <w:rPr>
                        <w:noProof/>
                      </w:rPr>
                      <w:fldChar w:fldCharType="separate"/>
                    </w:r>
                    <w:r w:rsidR="00A057C8">
                      <w:rPr>
                        <w:noProof/>
                      </w:rPr>
                      <w:t>10</w:t>
                    </w:r>
                    <w:r w:rsidR="00D921E0" w:rsidRPr="008A57AE">
                      <w:rPr>
                        <w:noProof/>
                      </w:rPr>
                      <w:fldChar w:fldCharType="end"/>
                    </w:r>
                  </w:hyperlink>
                </w:p>
                <w:p w14:paraId="1D6DAD53" w14:textId="21A42E86" w:rsidR="008810A2" w:rsidRPr="008A57AE" w:rsidRDefault="00000000">
                  <w:pPr>
                    <w:pStyle w:val="TOC1"/>
                    <w:rPr>
                      <w:rFonts w:eastAsiaTheme="minorEastAsia"/>
                      <w:b w:val="0"/>
                      <w:bCs w:val="0"/>
                      <w:caps w:val="0"/>
                      <w:noProof/>
                      <w:sz w:val="21"/>
                      <w:szCs w:val="22"/>
                      <w14:ligatures w14:val="standardContextual"/>
                    </w:rPr>
                  </w:pPr>
                  <w:hyperlink w:anchor="_Toc175065699" w:history="1">
                    <w:r w:rsidR="00D921E0" w:rsidRPr="008A57AE">
                      <w:rPr>
                        <w:rStyle w:val="affc"/>
                        <w:noProof/>
                      </w:rPr>
                      <w:t>第二章</w:t>
                    </w:r>
                    <w:r w:rsidR="00D921E0" w:rsidRPr="008A57AE">
                      <w:rPr>
                        <w:rStyle w:val="affc"/>
                        <w:noProof/>
                      </w:rPr>
                      <w:t xml:space="preserve"> </w:t>
                    </w:r>
                    <w:r w:rsidR="00D921E0" w:rsidRPr="008A57AE">
                      <w:rPr>
                        <w:rStyle w:val="affc"/>
                        <w:noProof/>
                      </w:rPr>
                      <w:t>网民规模及结构状况</w:t>
                    </w:r>
                    <w:r w:rsidR="00D921E0" w:rsidRPr="008A57AE">
                      <w:rPr>
                        <w:noProof/>
                      </w:rPr>
                      <w:tab/>
                    </w:r>
                    <w:r w:rsidR="00D921E0" w:rsidRPr="008A57AE">
                      <w:rPr>
                        <w:noProof/>
                      </w:rPr>
                      <w:fldChar w:fldCharType="begin"/>
                    </w:r>
                    <w:r w:rsidR="00D921E0" w:rsidRPr="008A57AE">
                      <w:rPr>
                        <w:noProof/>
                      </w:rPr>
                      <w:instrText xml:space="preserve"> PAGEREF _Toc175065699 \h </w:instrText>
                    </w:r>
                    <w:r w:rsidR="00D921E0" w:rsidRPr="008A57AE">
                      <w:rPr>
                        <w:noProof/>
                      </w:rPr>
                    </w:r>
                    <w:r w:rsidR="00D921E0" w:rsidRPr="008A57AE">
                      <w:rPr>
                        <w:noProof/>
                      </w:rPr>
                      <w:fldChar w:fldCharType="separate"/>
                    </w:r>
                    <w:r w:rsidR="00A057C8">
                      <w:rPr>
                        <w:noProof/>
                      </w:rPr>
                      <w:t>13</w:t>
                    </w:r>
                    <w:r w:rsidR="00D921E0" w:rsidRPr="008A57AE">
                      <w:rPr>
                        <w:noProof/>
                      </w:rPr>
                      <w:fldChar w:fldCharType="end"/>
                    </w:r>
                  </w:hyperlink>
                </w:p>
                <w:p w14:paraId="139F06BF" w14:textId="46F985A6"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00" w:history="1">
                    <w:r w:rsidR="00D921E0" w:rsidRPr="008A57AE">
                      <w:rPr>
                        <w:rStyle w:val="affc"/>
                        <w:rFonts w:ascii="Times New Roman" w:hAnsi="Times New Roman"/>
                        <w:noProof/>
                      </w:rPr>
                      <w:t>一、</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网民规模</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_Toc175065700 \h </w:instrText>
                    </w:r>
                    <w:r w:rsidR="00D921E0" w:rsidRPr="008A57AE">
                      <w:rPr>
                        <w:rFonts w:ascii="Times New Roman" w:hAnsi="Times New Roman"/>
                        <w:noProof/>
                      </w:rPr>
                    </w:r>
                    <w:r w:rsidR="00D921E0" w:rsidRPr="008A57AE">
                      <w:rPr>
                        <w:rFonts w:ascii="Times New Roman" w:hAnsi="Times New Roman"/>
                        <w:noProof/>
                      </w:rPr>
                      <w:fldChar w:fldCharType="separate"/>
                    </w:r>
                    <w:r w:rsidR="00A057C8">
                      <w:rPr>
                        <w:rFonts w:ascii="Times New Roman" w:hAnsi="Times New Roman"/>
                        <w:noProof/>
                      </w:rPr>
                      <w:t>13</w:t>
                    </w:r>
                    <w:r w:rsidR="00D921E0" w:rsidRPr="008A57AE">
                      <w:rPr>
                        <w:rFonts w:ascii="Times New Roman" w:hAnsi="Times New Roman"/>
                        <w:noProof/>
                      </w:rPr>
                      <w:fldChar w:fldCharType="end"/>
                    </w:r>
                  </w:hyperlink>
                </w:p>
                <w:p w14:paraId="56D28CB3" w14:textId="3EDC0C56" w:rsidR="008810A2" w:rsidRPr="008A57AE" w:rsidRDefault="00000000">
                  <w:pPr>
                    <w:pStyle w:val="TOC3"/>
                    <w:rPr>
                      <w:rFonts w:eastAsiaTheme="minorEastAsia"/>
                      <w:iCs w:val="0"/>
                      <w:noProof/>
                      <w:sz w:val="21"/>
                      <w:szCs w:val="22"/>
                      <w14:ligatures w14:val="standardContextual"/>
                    </w:rPr>
                  </w:pPr>
                  <w:hyperlink w:anchor="_Toc175065701"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总体网民规模</w:t>
                    </w:r>
                    <w:r w:rsidR="00D921E0" w:rsidRPr="008A57AE">
                      <w:rPr>
                        <w:noProof/>
                      </w:rPr>
                      <w:tab/>
                    </w:r>
                    <w:r w:rsidR="00D921E0" w:rsidRPr="008A57AE">
                      <w:rPr>
                        <w:noProof/>
                      </w:rPr>
                      <w:fldChar w:fldCharType="begin"/>
                    </w:r>
                    <w:r w:rsidR="00D921E0" w:rsidRPr="008A57AE">
                      <w:rPr>
                        <w:noProof/>
                      </w:rPr>
                      <w:instrText xml:space="preserve"> PAGEREF _Toc175065701 \h </w:instrText>
                    </w:r>
                    <w:r w:rsidR="00D921E0" w:rsidRPr="008A57AE">
                      <w:rPr>
                        <w:noProof/>
                      </w:rPr>
                    </w:r>
                    <w:r w:rsidR="00D921E0" w:rsidRPr="008A57AE">
                      <w:rPr>
                        <w:noProof/>
                      </w:rPr>
                      <w:fldChar w:fldCharType="separate"/>
                    </w:r>
                    <w:r w:rsidR="00A057C8">
                      <w:rPr>
                        <w:noProof/>
                      </w:rPr>
                      <w:t>13</w:t>
                    </w:r>
                    <w:r w:rsidR="00D921E0" w:rsidRPr="008A57AE">
                      <w:rPr>
                        <w:noProof/>
                      </w:rPr>
                      <w:fldChar w:fldCharType="end"/>
                    </w:r>
                  </w:hyperlink>
                </w:p>
                <w:p w14:paraId="666C9B86" w14:textId="086C9410" w:rsidR="008810A2" w:rsidRPr="008A57AE" w:rsidRDefault="00000000">
                  <w:pPr>
                    <w:pStyle w:val="TOC3"/>
                    <w:rPr>
                      <w:rFonts w:eastAsiaTheme="minorEastAsia"/>
                      <w:iCs w:val="0"/>
                      <w:noProof/>
                      <w:sz w:val="21"/>
                      <w:szCs w:val="22"/>
                      <w14:ligatures w14:val="standardContextual"/>
                    </w:rPr>
                  </w:pPr>
                  <w:hyperlink w:anchor="_Toc175065702"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城乡网民规模</w:t>
                    </w:r>
                    <w:r w:rsidR="00D921E0" w:rsidRPr="008A57AE">
                      <w:rPr>
                        <w:noProof/>
                      </w:rPr>
                      <w:tab/>
                    </w:r>
                    <w:r w:rsidR="00D921E0" w:rsidRPr="008A57AE">
                      <w:rPr>
                        <w:noProof/>
                      </w:rPr>
                      <w:fldChar w:fldCharType="begin"/>
                    </w:r>
                    <w:r w:rsidR="00D921E0" w:rsidRPr="008A57AE">
                      <w:rPr>
                        <w:noProof/>
                      </w:rPr>
                      <w:instrText xml:space="preserve"> PAGEREF _Toc175065702 \h </w:instrText>
                    </w:r>
                    <w:r w:rsidR="00D921E0" w:rsidRPr="008A57AE">
                      <w:rPr>
                        <w:noProof/>
                      </w:rPr>
                    </w:r>
                    <w:r w:rsidR="00D921E0" w:rsidRPr="008A57AE">
                      <w:rPr>
                        <w:noProof/>
                      </w:rPr>
                      <w:fldChar w:fldCharType="separate"/>
                    </w:r>
                    <w:r w:rsidR="00A057C8">
                      <w:rPr>
                        <w:noProof/>
                      </w:rPr>
                      <w:t>15</w:t>
                    </w:r>
                    <w:r w:rsidR="00D921E0" w:rsidRPr="008A57AE">
                      <w:rPr>
                        <w:noProof/>
                      </w:rPr>
                      <w:fldChar w:fldCharType="end"/>
                    </w:r>
                  </w:hyperlink>
                </w:p>
                <w:p w14:paraId="6F973E1E" w14:textId="624C54D8" w:rsidR="008810A2" w:rsidRPr="008A57AE" w:rsidRDefault="00000000">
                  <w:pPr>
                    <w:pStyle w:val="TOC3"/>
                    <w:rPr>
                      <w:rFonts w:eastAsiaTheme="minorEastAsia"/>
                      <w:iCs w:val="0"/>
                      <w:noProof/>
                      <w:sz w:val="21"/>
                      <w:szCs w:val="22"/>
                      <w14:ligatures w14:val="standardContextual"/>
                    </w:rPr>
                  </w:pPr>
                  <w:hyperlink w:anchor="_Toc175065703"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非网民规模</w:t>
                    </w:r>
                    <w:r w:rsidR="00D921E0" w:rsidRPr="008A57AE">
                      <w:rPr>
                        <w:noProof/>
                      </w:rPr>
                      <w:tab/>
                    </w:r>
                    <w:r w:rsidR="00D921E0" w:rsidRPr="008A57AE">
                      <w:rPr>
                        <w:noProof/>
                      </w:rPr>
                      <w:fldChar w:fldCharType="begin"/>
                    </w:r>
                    <w:r w:rsidR="00D921E0" w:rsidRPr="008A57AE">
                      <w:rPr>
                        <w:noProof/>
                      </w:rPr>
                      <w:instrText xml:space="preserve"> PAGEREF _Toc175065703 \h </w:instrText>
                    </w:r>
                    <w:r w:rsidR="00D921E0" w:rsidRPr="008A57AE">
                      <w:rPr>
                        <w:noProof/>
                      </w:rPr>
                    </w:r>
                    <w:r w:rsidR="00D921E0" w:rsidRPr="008A57AE">
                      <w:rPr>
                        <w:noProof/>
                      </w:rPr>
                      <w:fldChar w:fldCharType="separate"/>
                    </w:r>
                    <w:r w:rsidR="00A057C8">
                      <w:rPr>
                        <w:noProof/>
                      </w:rPr>
                      <w:t>16</w:t>
                    </w:r>
                    <w:r w:rsidR="00D921E0" w:rsidRPr="008A57AE">
                      <w:rPr>
                        <w:noProof/>
                      </w:rPr>
                      <w:fldChar w:fldCharType="end"/>
                    </w:r>
                  </w:hyperlink>
                </w:p>
                <w:p w14:paraId="1836E7F5" w14:textId="6596EB0F"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04" w:history="1">
                    <w:r w:rsidR="00D921E0" w:rsidRPr="008A57AE">
                      <w:rPr>
                        <w:rStyle w:val="affc"/>
                        <w:rFonts w:ascii="Times New Roman" w:hAnsi="Times New Roman"/>
                        <w:noProof/>
                      </w:rPr>
                      <w:t>二、</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网民结构及上网设备</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_Toc175065704 \h </w:instrText>
                    </w:r>
                    <w:r w:rsidR="00D921E0" w:rsidRPr="008A57AE">
                      <w:rPr>
                        <w:rFonts w:ascii="Times New Roman" w:hAnsi="Times New Roman"/>
                        <w:noProof/>
                      </w:rPr>
                    </w:r>
                    <w:r w:rsidR="00D921E0" w:rsidRPr="008A57AE">
                      <w:rPr>
                        <w:rFonts w:ascii="Times New Roman" w:hAnsi="Times New Roman"/>
                        <w:noProof/>
                      </w:rPr>
                      <w:fldChar w:fldCharType="separate"/>
                    </w:r>
                    <w:r w:rsidR="00A057C8">
                      <w:rPr>
                        <w:rFonts w:ascii="Times New Roman" w:hAnsi="Times New Roman"/>
                        <w:noProof/>
                      </w:rPr>
                      <w:t>18</w:t>
                    </w:r>
                    <w:r w:rsidR="00D921E0" w:rsidRPr="008A57AE">
                      <w:rPr>
                        <w:rFonts w:ascii="Times New Roman" w:hAnsi="Times New Roman"/>
                        <w:noProof/>
                      </w:rPr>
                      <w:fldChar w:fldCharType="end"/>
                    </w:r>
                  </w:hyperlink>
                </w:p>
                <w:p w14:paraId="0D6D5A94" w14:textId="32BD2FBE" w:rsidR="008810A2" w:rsidRPr="008A57AE" w:rsidRDefault="00000000">
                  <w:pPr>
                    <w:pStyle w:val="TOC3"/>
                    <w:rPr>
                      <w:rFonts w:eastAsiaTheme="minorEastAsia"/>
                      <w:iCs w:val="0"/>
                      <w:noProof/>
                      <w:sz w:val="21"/>
                      <w:szCs w:val="22"/>
                      <w14:ligatures w14:val="standardContextual"/>
                    </w:rPr>
                  </w:pPr>
                  <w:hyperlink w:anchor="_Toc175065705"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性别结构</w:t>
                    </w:r>
                    <w:r w:rsidR="00D921E0" w:rsidRPr="008A57AE">
                      <w:rPr>
                        <w:noProof/>
                      </w:rPr>
                      <w:tab/>
                    </w:r>
                    <w:r w:rsidR="00D921E0" w:rsidRPr="008A57AE">
                      <w:rPr>
                        <w:noProof/>
                      </w:rPr>
                      <w:fldChar w:fldCharType="begin"/>
                    </w:r>
                    <w:r w:rsidR="00D921E0" w:rsidRPr="008A57AE">
                      <w:rPr>
                        <w:noProof/>
                      </w:rPr>
                      <w:instrText xml:space="preserve"> PAGEREF _Toc175065705 \h </w:instrText>
                    </w:r>
                    <w:r w:rsidR="00D921E0" w:rsidRPr="008A57AE">
                      <w:rPr>
                        <w:noProof/>
                      </w:rPr>
                    </w:r>
                    <w:r w:rsidR="00D921E0" w:rsidRPr="008A57AE">
                      <w:rPr>
                        <w:noProof/>
                      </w:rPr>
                      <w:fldChar w:fldCharType="separate"/>
                    </w:r>
                    <w:r w:rsidR="00A057C8">
                      <w:rPr>
                        <w:noProof/>
                      </w:rPr>
                      <w:t>18</w:t>
                    </w:r>
                    <w:r w:rsidR="00D921E0" w:rsidRPr="008A57AE">
                      <w:rPr>
                        <w:noProof/>
                      </w:rPr>
                      <w:fldChar w:fldCharType="end"/>
                    </w:r>
                  </w:hyperlink>
                </w:p>
                <w:p w14:paraId="37389890" w14:textId="2EBC1F68" w:rsidR="008810A2" w:rsidRPr="008A57AE" w:rsidRDefault="00000000">
                  <w:pPr>
                    <w:pStyle w:val="TOC3"/>
                    <w:rPr>
                      <w:rFonts w:eastAsiaTheme="minorEastAsia"/>
                      <w:iCs w:val="0"/>
                      <w:noProof/>
                      <w:sz w:val="21"/>
                      <w:szCs w:val="22"/>
                      <w14:ligatures w14:val="standardContextual"/>
                    </w:rPr>
                  </w:pPr>
                  <w:hyperlink w:anchor="_Toc175065706"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年龄结构</w:t>
                    </w:r>
                    <w:r w:rsidR="00D921E0" w:rsidRPr="008A57AE">
                      <w:rPr>
                        <w:noProof/>
                      </w:rPr>
                      <w:tab/>
                    </w:r>
                    <w:r w:rsidR="00D921E0" w:rsidRPr="008A57AE">
                      <w:rPr>
                        <w:noProof/>
                      </w:rPr>
                      <w:fldChar w:fldCharType="begin"/>
                    </w:r>
                    <w:r w:rsidR="00D921E0" w:rsidRPr="008A57AE">
                      <w:rPr>
                        <w:noProof/>
                      </w:rPr>
                      <w:instrText xml:space="preserve"> PAGEREF _Toc175065706 \h </w:instrText>
                    </w:r>
                    <w:r w:rsidR="00D921E0" w:rsidRPr="008A57AE">
                      <w:rPr>
                        <w:noProof/>
                      </w:rPr>
                    </w:r>
                    <w:r w:rsidR="00D921E0" w:rsidRPr="008A57AE">
                      <w:rPr>
                        <w:noProof/>
                      </w:rPr>
                      <w:fldChar w:fldCharType="separate"/>
                    </w:r>
                    <w:r w:rsidR="00A057C8">
                      <w:rPr>
                        <w:noProof/>
                      </w:rPr>
                      <w:t>19</w:t>
                    </w:r>
                    <w:r w:rsidR="00D921E0" w:rsidRPr="008A57AE">
                      <w:rPr>
                        <w:noProof/>
                      </w:rPr>
                      <w:fldChar w:fldCharType="end"/>
                    </w:r>
                  </w:hyperlink>
                </w:p>
                <w:p w14:paraId="11419A04" w14:textId="60CFA359" w:rsidR="008810A2" w:rsidRPr="008A57AE" w:rsidRDefault="00000000">
                  <w:pPr>
                    <w:pStyle w:val="TOC3"/>
                    <w:rPr>
                      <w:rFonts w:eastAsiaTheme="minorEastAsia"/>
                      <w:iCs w:val="0"/>
                      <w:noProof/>
                      <w:sz w:val="21"/>
                      <w:szCs w:val="22"/>
                      <w14:ligatures w14:val="standardContextual"/>
                    </w:rPr>
                  </w:pPr>
                  <w:hyperlink w:anchor="_Toc175065707"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上网设备</w:t>
                    </w:r>
                    <w:r w:rsidR="00D921E0" w:rsidRPr="008A57AE">
                      <w:rPr>
                        <w:noProof/>
                      </w:rPr>
                      <w:tab/>
                    </w:r>
                    <w:r w:rsidR="00D921E0" w:rsidRPr="008A57AE">
                      <w:rPr>
                        <w:noProof/>
                      </w:rPr>
                      <w:fldChar w:fldCharType="begin"/>
                    </w:r>
                    <w:r w:rsidR="00D921E0" w:rsidRPr="008A57AE">
                      <w:rPr>
                        <w:noProof/>
                      </w:rPr>
                      <w:instrText xml:space="preserve"> PAGEREF _Toc175065707 \h </w:instrText>
                    </w:r>
                    <w:r w:rsidR="00D921E0" w:rsidRPr="008A57AE">
                      <w:rPr>
                        <w:noProof/>
                      </w:rPr>
                    </w:r>
                    <w:r w:rsidR="00D921E0" w:rsidRPr="008A57AE">
                      <w:rPr>
                        <w:noProof/>
                      </w:rPr>
                      <w:fldChar w:fldCharType="separate"/>
                    </w:r>
                    <w:r w:rsidR="00A057C8">
                      <w:rPr>
                        <w:noProof/>
                      </w:rPr>
                      <w:t>19</w:t>
                    </w:r>
                    <w:r w:rsidR="00D921E0" w:rsidRPr="008A57AE">
                      <w:rPr>
                        <w:noProof/>
                      </w:rPr>
                      <w:fldChar w:fldCharType="end"/>
                    </w:r>
                  </w:hyperlink>
                </w:p>
                <w:p w14:paraId="1CBE4CCB" w14:textId="4522C87C"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08" w:history="1">
                    <w:r w:rsidR="00D921E0" w:rsidRPr="008A57AE">
                      <w:rPr>
                        <w:rStyle w:val="affc"/>
                        <w:rFonts w:ascii="Times New Roman" w:hAnsi="Times New Roman"/>
                        <w:noProof/>
                      </w:rPr>
                      <w:t>三、</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网民数字素养与技能发展状况</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_Toc175065708 \h </w:instrText>
                    </w:r>
                    <w:r w:rsidR="00D921E0" w:rsidRPr="008A57AE">
                      <w:rPr>
                        <w:rFonts w:ascii="Times New Roman" w:hAnsi="Times New Roman"/>
                        <w:noProof/>
                      </w:rPr>
                    </w:r>
                    <w:r w:rsidR="00D921E0" w:rsidRPr="008A57AE">
                      <w:rPr>
                        <w:rFonts w:ascii="Times New Roman" w:hAnsi="Times New Roman"/>
                        <w:noProof/>
                      </w:rPr>
                      <w:fldChar w:fldCharType="separate"/>
                    </w:r>
                    <w:r w:rsidR="00A057C8">
                      <w:rPr>
                        <w:rFonts w:ascii="Times New Roman" w:hAnsi="Times New Roman"/>
                        <w:noProof/>
                      </w:rPr>
                      <w:t>20</w:t>
                    </w:r>
                    <w:r w:rsidR="00D921E0" w:rsidRPr="008A57AE">
                      <w:rPr>
                        <w:rFonts w:ascii="Times New Roman" w:hAnsi="Times New Roman"/>
                        <w:noProof/>
                      </w:rPr>
                      <w:fldChar w:fldCharType="end"/>
                    </w:r>
                  </w:hyperlink>
                </w:p>
                <w:p w14:paraId="4B94CA35" w14:textId="4B35D30C" w:rsidR="008810A2" w:rsidRPr="008A57AE" w:rsidRDefault="00000000">
                  <w:pPr>
                    <w:pStyle w:val="TOC1"/>
                    <w:rPr>
                      <w:rFonts w:eastAsiaTheme="minorEastAsia"/>
                      <w:b w:val="0"/>
                      <w:bCs w:val="0"/>
                      <w:caps w:val="0"/>
                      <w:noProof/>
                      <w:sz w:val="21"/>
                      <w:szCs w:val="22"/>
                      <w14:ligatures w14:val="standardContextual"/>
                    </w:rPr>
                  </w:pPr>
                  <w:hyperlink w:anchor="_Toc175065709" w:history="1">
                    <w:r w:rsidR="00D921E0" w:rsidRPr="008A57AE">
                      <w:rPr>
                        <w:rStyle w:val="affc"/>
                        <w:noProof/>
                      </w:rPr>
                      <w:t>第三章</w:t>
                    </w:r>
                    <w:r w:rsidR="00D921E0" w:rsidRPr="008A57AE">
                      <w:rPr>
                        <w:rStyle w:val="affc"/>
                        <w:noProof/>
                      </w:rPr>
                      <w:t xml:space="preserve"> </w:t>
                    </w:r>
                    <w:r w:rsidR="00D921E0" w:rsidRPr="008A57AE">
                      <w:rPr>
                        <w:rStyle w:val="affc"/>
                        <w:noProof/>
                      </w:rPr>
                      <w:t>互联网应用发展状况</w:t>
                    </w:r>
                    <w:r w:rsidR="00D921E0" w:rsidRPr="008A57AE">
                      <w:rPr>
                        <w:noProof/>
                      </w:rPr>
                      <w:tab/>
                    </w:r>
                    <w:r w:rsidR="00D921E0" w:rsidRPr="008A57AE">
                      <w:rPr>
                        <w:noProof/>
                      </w:rPr>
                      <w:fldChar w:fldCharType="begin"/>
                    </w:r>
                    <w:r w:rsidR="00D921E0" w:rsidRPr="008A57AE">
                      <w:rPr>
                        <w:noProof/>
                      </w:rPr>
                      <w:instrText xml:space="preserve"> PAGEREF _Toc175065709 \h </w:instrText>
                    </w:r>
                    <w:r w:rsidR="00D921E0" w:rsidRPr="008A57AE">
                      <w:rPr>
                        <w:noProof/>
                      </w:rPr>
                    </w:r>
                    <w:r w:rsidR="00D921E0" w:rsidRPr="008A57AE">
                      <w:rPr>
                        <w:noProof/>
                      </w:rPr>
                      <w:fldChar w:fldCharType="separate"/>
                    </w:r>
                    <w:r w:rsidR="00A057C8">
                      <w:rPr>
                        <w:noProof/>
                      </w:rPr>
                      <w:t>23</w:t>
                    </w:r>
                    <w:r w:rsidR="00D921E0" w:rsidRPr="008A57AE">
                      <w:rPr>
                        <w:noProof/>
                      </w:rPr>
                      <w:fldChar w:fldCharType="end"/>
                    </w:r>
                  </w:hyperlink>
                </w:p>
                <w:p w14:paraId="261E3184" w14:textId="51232592"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10" w:history="1">
                    <w:r w:rsidR="00D921E0" w:rsidRPr="008A57AE">
                      <w:rPr>
                        <w:rStyle w:val="affc"/>
                        <w:rFonts w:ascii="Times New Roman" w:hAnsi="Times New Roman"/>
                        <w:noProof/>
                      </w:rPr>
                      <w:t>一、</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总体发展状况</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_Toc175065710 \h </w:instrText>
                    </w:r>
                    <w:r w:rsidR="00D921E0" w:rsidRPr="008A57AE">
                      <w:rPr>
                        <w:rFonts w:ascii="Times New Roman" w:hAnsi="Times New Roman"/>
                        <w:noProof/>
                      </w:rPr>
                    </w:r>
                    <w:r w:rsidR="00D921E0" w:rsidRPr="008A57AE">
                      <w:rPr>
                        <w:rFonts w:ascii="Times New Roman" w:hAnsi="Times New Roman"/>
                        <w:noProof/>
                      </w:rPr>
                      <w:fldChar w:fldCharType="separate"/>
                    </w:r>
                    <w:r w:rsidR="00A057C8">
                      <w:rPr>
                        <w:rFonts w:ascii="Times New Roman" w:hAnsi="Times New Roman"/>
                        <w:noProof/>
                      </w:rPr>
                      <w:t>23</w:t>
                    </w:r>
                    <w:r w:rsidR="00D921E0" w:rsidRPr="008A57AE">
                      <w:rPr>
                        <w:rFonts w:ascii="Times New Roman" w:hAnsi="Times New Roman"/>
                        <w:noProof/>
                      </w:rPr>
                      <w:fldChar w:fldCharType="end"/>
                    </w:r>
                  </w:hyperlink>
                </w:p>
                <w:p w14:paraId="6F5E5BC2" w14:textId="639E4263"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11" w:history="1">
                    <w:r w:rsidR="00D921E0" w:rsidRPr="008A57AE">
                      <w:rPr>
                        <w:rStyle w:val="affc"/>
                        <w:rFonts w:ascii="Times New Roman" w:hAnsi="Times New Roman"/>
                        <w:noProof/>
                      </w:rPr>
                      <w:t>二、</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基础应用类应用</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_Toc175065711 \h </w:instrText>
                    </w:r>
                    <w:r w:rsidR="00D921E0" w:rsidRPr="008A57AE">
                      <w:rPr>
                        <w:rFonts w:ascii="Times New Roman" w:hAnsi="Times New Roman"/>
                        <w:noProof/>
                      </w:rPr>
                    </w:r>
                    <w:r w:rsidR="00D921E0" w:rsidRPr="008A57AE">
                      <w:rPr>
                        <w:rFonts w:ascii="Times New Roman" w:hAnsi="Times New Roman"/>
                        <w:noProof/>
                      </w:rPr>
                      <w:fldChar w:fldCharType="separate"/>
                    </w:r>
                    <w:r w:rsidR="00A057C8">
                      <w:rPr>
                        <w:rFonts w:ascii="Times New Roman" w:hAnsi="Times New Roman"/>
                        <w:noProof/>
                      </w:rPr>
                      <w:t>24</w:t>
                    </w:r>
                    <w:r w:rsidR="00D921E0" w:rsidRPr="008A57AE">
                      <w:rPr>
                        <w:rFonts w:ascii="Times New Roman" w:hAnsi="Times New Roman"/>
                        <w:noProof/>
                      </w:rPr>
                      <w:fldChar w:fldCharType="end"/>
                    </w:r>
                  </w:hyperlink>
                </w:p>
                <w:p w14:paraId="11F31445" w14:textId="5E85FA9B" w:rsidR="008810A2" w:rsidRPr="008A57AE" w:rsidRDefault="00000000">
                  <w:pPr>
                    <w:pStyle w:val="TOC3"/>
                    <w:rPr>
                      <w:rFonts w:eastAsiaTheme="minorEastAsia"/>
                      <w:iCs w:val="0"/>
                      <w:noProof/>
                      <w:sz w:val="21"/>
                      <w:szCs w:val="22"/>
                      <w14:ligatures w14:val="standardContextual"/>
                    </w:rPr>
                  </w:pPr>
                  <w:hyperlink w:anchor="_Toc175065712"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即时通信</w:t>
                    </w:r>
                    <w:r w:rsidR="00D921E0" w:rsidRPr="008A57AE">
                      <w:rPr>
                        <w:noProof/>
                      </w:rPr>
                      <w:tab/>
                    </w:r>
                    <w:r w:rsidR="00D921E0" w:rsidRPr="008A57AE">
                      <w:rPr>
                        <w:noProof/>
                      </w:rPr>
                      <w:fldChar w:fldCharType="begin"/>
                    </w:r>
                    <w:r w:rsidR="00D921E0" w:rsidRPr="008A57AE">
                      <w:rPr>
                        <w:noProof/>
                      </w:rPr>
                      <w:instrText xml:space="preserve"> PAGEREF _Toc175065712 \h </w:instrText>
                    </w:r>
                    <w:r w:rsidR="00D921E0" w:rsidRPr="008A57AE">
                      <w:rPr>
                        <w:noProof/>
                      </w:rPr>
                    </w:r>
                    <w:r w:rsidR="00D921E0" w:rsidRPr="008A57AE">
                      <w:rPr>
                        <w:noProof/>
                      </w:rPr>
                      <w:fldChar w:fldCharType="separate"/>
                    </w:r>
                    <w:r w:rsidR="00A057C8">
                      <w:rPr>
                        <w:noProof/>
                      </w:rPr>
                      <w:t>24</w:t>
                    </w:r>
                    <w:r w:rsidR="00D921E0" w:rsidRPr="008A57AE">
                      <w:rPr>
                        <w:noProof/>
                      </w:rPr>
                      <w:fldChar w:fldCharType="end"/>
                    </w:r>
                  </w:hyperlink>
                </w:p>
                <w:p w14:paraId="355D5908" w14:textId="7C9DA6CC" w:rsidR="008810A2" w:rsidRPr="008A57AE" w:rsidRDefault="00000000">
                  <w:pPr>
                    <w:pStyle w:val="TOC3"/>
                    <w:rPr>
                      <w:rFonts w:eastAsiaTheme="minorEastAsia"/>
                      <w:iCs w:val="0"/>
                      <w:noProof/>
                      <w:sz w:val="21"/>
                      <w:szCs w:val="22"/>
                      <w14:ligatures w14:val="standardContextual"/>
                    </w:rPr>
                  </w:pPr>
                  <w:hyperlink w:anchor="_Toc175065713"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搜索引擎</w:t>
                    </w:r>
                    <w:r w:rsidR="00D921E0" w:rsidRPr="008A57AE">
                      <w:rPr>
                        <w:noProof/>
                      </w:rPr>
                      <w:tab/>
                    </w:r>
                    <w:r w:rsidR="00D921E0" w:rsidRPr="008A57AE">
                      <w:rPr>
                        <w:noProof/>
                      </w:rPr>
                      <w:fldChar w:fldCharType="begin"/>
                    </w:r>
                    <w:r w:rsidR="00D921E0" w:rsidRPr="008A57AE">
                      <w:rPr>
                        <w:noProof/>
                      </w:rPr>
                      <w:instrText xml:space="preserve"> PAGEREF _Toc175065713 \h </w:instrText>
                    </w:r>
                    <w:r w:rsidR="00D921E0" w:rsidRPr="008A57AE">
                      <w:rPr>
                        <w:noProof/>
                      </w:rPr>
                    </w:r>
                    <w:r w:rsidR="00D921E0" w:rsidRPr="008A57AE">
                      <w:rPr>
                        <w:noProof/>
                      </w:rPr>
                      <w:fldChar w:fldCharType="separate"/>
                    </w:r>
                    <w:r w:rsidR="00A057C8">
                      <w:rPr>
                        <w:noProof/>
                      </w:rPr>
                      <w:t>25</w:t>
                    </w:r>
                    <w:r w:rsidR="00D921E0" w:rsidRPr="008A57AE">
                      <w:rPr>
                        <w:noProof/>
                      </w:rPr>
                      <w:fldChar w:fldCharType="end"/>
                    </w:r>
                  </w:hyperlink>
                </w:p>
                <w:p w14:paraId="592D6A10" w14:textId="0447CD56" w:rsidR="008810A2" w:rsidRPr="008A57AE" w:rsidRDefault="00000000">
                  <w:pPr>
                    <w:pStyle w:val="TOC3"/>
                    <w:rPr>
                      <w:rFonts w:eastAsiaTheme="minorEastAsia"/>
                      <w:iCs w:val="0"/>
                      <w:noProof/>
                      <w:sz w:val="21"/>
                      <w:szCs w:val="22"/>
                      <w14:ligatures w14:val="standardContextual"/>
                    </w:rPr>
                  </w:pPr>
                  <w:hyperlink w:anchor="_Toc175065714"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线上办公</w:t>
                    </w:r>
                    <w:r w:rsidR="00D921E0" w:rsidRPr="008A57AE">
                      <w:rPr>
                        <w:noProof/>
                      </w:rPr>
                      <w:tab/>
                    </w:r>
                    <w:r w:rsidR="00D921E0" w:rsidRPr="008A57AE">
                      <w:rPr>
                        <w:noProof/>
                      </w:rPr>
                      <w:fldChar w:fldCharType="begin"/>
                    </w:r>
                    <w:r w:rsidR="00D921E0" w:rsidRPr="008A57AE">
                      <w:rPr>
                        <w:noProof/>
                      </w:rPr>
                      <w:instrText xml:space="preserve"> PAGEREF _Toc175065714 \h </w:instrText>
                    </w:r>
                    <w:r w:rsidR="00D921E0" w:rsidRPr="008A57AE">
                      <w:rPr>
                        <w:noProof/>
                      </w:rPr>
                    </w:r>
                    <w:r w:rsidR="00D921E0" w:rsidRPr="008A57AE">
                      <w:rPr>
                        <w:noProof/>
                      </w:rPr>
                      <w:fldChar w:fldCharType="separate"/>
                    </w:r>
                    <w:r w:rsidR="00A057C8">
                      <w:rPr>
                        <w:noProof/>
                      </w:rPr>
                      <w:t>26</w:t>
                    </w:r>
                    <w:r w:rsidR="00D921E0" w:rsidRPr="008A57AE">
                      <w:rPr>
                        <w:noProof/>
                      </w:rPr>
                      <w:fldChar w:fldCharType="end"/>
                    </w:r>
                  </w:hyperlink>
                </w:p>
                <w:p w14:paraId="3E4ABFB4" w14:textId="0EB09734"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15" w:history="1">
                    <w:r w:rsidR="00D921E0" w:rsidRPr="008A57AE">
                      <w:rPr>
                        <w:rStyle w:val="affc"/>
                        <w:rFonts w:ascii="Times New Roman" w:hAnsi="Times New Roman"/>
                        <w:noProof/>
                      </w:rPr>
                      <w:t>三、</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商务交易类应用</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_Toc175065715 \h </w:instrText>
                    </w:r>
                    <w:r w:rsidR="00D921E0" w:rsidRPr="008A57AE">
                      <w:rPr>
                        <w:rFonts w:ascii="Times New Roman" w:hAnsi="Times New Roman"/>
                        <w:noProof/>
                      </w:rPr>
                    </w:r>
                    <w:r w:rsidR="00D921E0" w:rsidRPr="008A57AE">
                      <w:rPr>
                        <w:rFonts w:ascii="Times New Roman" w:hAnsi="Times New Roman"/>
                        <w:noProof/>
                      </w:rPr>
                      <w:fldChar w:fldCharType="separate"/>
                    </w:r>
                    <w:r w:rsidR="00A057C8">
                      <w:rPr>
                        <w:rFonts w:ascii="Times New Roman" w:hAnsi="Times New Roman"/>
                        <w:noProof/>
                      </w:rPr>
                      <w:t>27</w:t>
                    </w:r>
                    <w:r w:rsidR="00D921E0" w:rsidRPr="008A57AE">
                      <w:rPr>
                        <w:rFonts w:ascii="Times New Roman" w:hAnsi="Times New Roman"/>
                        <w:noProof/>
                      </w:rPr>
                      <w:fldChar w:fldCharType="end"/>
                    </w:r>
                  </w:hyperlink>
                </w:p>
                <w:p w14:paraId="54A938B4" w14:textId="0F258885" w:rsidR="008810A2" w:rsidRPr="008A57AE" w:rsidRDefault="00000000">
                  <w:pPr>
                    <w:pStyle w:val="TOC3"/>
                    <w:rPr>
                      <w:rFonts w:eastAsiaTheme="minorEastAsia"/>
                      <w:iCs w:val="0"/>
                      <w:noProof/>
                      <w:sz w:val="21"/>
                      <w:szCs w:val="22"/>
                      <w14:ligatures w14:val="standardContextual"/>
                    </w:rPr>
                  </w:pPr>
                  <w:hyperlink w:anchor="_Toc175065716"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网络支付</w:t>
                    </w:r>
                    <w:r w:rsidR="00D921E0" w:rsidRPr="008A57AE">
                      <w:rPr>
                        <w:noProof/>
                      </w:rPr>
                      <w:tab/>
                    </w:r>
                    <w:r w:rsidR="00D921E0" w:rsidRPr="008A57AE">
                      <w:rPr>
                        <w:noProof/>
                      </w:rPr>
                      <w:fldChar w:fldCharType="begin"/>
                    </w:r>
                    <w:r w:rsidR="00D921E0" w:rsidRPr="008A57AE">
                      <w:rPr>
                        <w:noProof/>
                      </w:rPr>
                      <w:instrText xml:space="preserve"> PAGEREF _Toc175065716 \h </w:instrText>
                    </w:r>
                    <w:r w:rsidR="00D921E0" w:rsidRPr="008A57AE">
                      <w:rPr>
                        <w:noProof/>
                      </w:rPr>
                    </w:r>
                    <w:r w:rsidR="00D921E0" w:rsidRPr="008A57AE">
                      <w:rPr>
                        <w:noProof/>
                      </w:rPr>
                      <w:fldChar w:fldCharType="separate"/>
                    </w:r>
                    <w:r w:rsidR="00A057C8">
                      <w:rPr>
                        <w:noProof/>
                      </w:rPr>
                      <w:t>27</w:t>
                    </w:r>
                    <w:r w:rsidR="00D921E0" w:rsidRPr="008A57AE">
                      <w:rPr>
                        <w:noProof/>
                      </w:rPr>
                      <w:fldChar w:fldCharType="end"/>
                    </w:r>
                  </w:hyperlink>
                </w:p>
                <w:p w14:paraId="7AF122D6" w14:textId="60809A45" w:rsidR="008810A2" w:rsidRPr="008A57AE" w:rsidRDefault="00000000">
                  <w:pPr>
                    <w:pStyle w:val="TOC3"/>
                    <w:rPr>
                      <w:rFonts w:eastAsiaTheme="minorEastAsia"/>
                      <w:iCs w:val="0"/>
                      <w:noProof/>
                      <w:sz w:val="21"/>
                      <w:szCs w:val="22"/>
                      <w14:ligatures w14:val="standardContextual"/>
                    </w:rPr>
                  </w:pPr>
                  <w:hyperlink w:anchor="_Toc175065717"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网络购物</w:t>
                    </w:r>
                    <w:r w:rsidR="00D921E0" w:rsidRPr="008A57AE">
                      <w:rPr>
                        <w:noProof/>
                      </w:rPr>
                      <w:tab/>
                    </w:r>
                    <w:r w:rsidR="00D921E0" w:rsidRPr="008A57AE">
                      <w:rPr>
                        <w:noProof/>
                      </w:rPr>
                      <w:fldChar w:fldCharType="begin"/>
                    </w:r>
                    <w:r w:rsidR="00D921E0" w:rsidRPr="008A57AE">
                      <w:rPr>
                        <w:noProof/>
                      </w:rPr>
                      <w:instrText xml:space="preserve"> PAGEREF _Toc175065717 \h </w:instrText>
                    </w:r>
                    <w:r w:rsidR="00D921E0" w:rsidRPr="008A57AE">
                      <w:rPr>
                        <w:noProof/>
                      </w:rPr>
                    </w:r>
                    <w:r w:rsidR="00D921E0" w:rsidRPr="008A57AE">
                      <w:rPr>
                        <w:noProof/>
                      </w:rPr>
                      <w:fldChar w:fldCharType="separate"/>
                    </w:r>
                    <w:r w:rsidR="00A057C8">
                      <w:rPr>
                        <w:noProof/>
                      </w:rPr>
                      <w:t>28</w:t>
                    </w:r>
                    <w:r w:rsidR="00D921E0" w:rsidRPr="008A57AE">
                      <w:rPr>
                        <w:noProof/>
                      </w:rPr>
                      <w:fldChar w:fldCharType="end"/>
                    </w:r>
                  </w:hyperlink>
                </w:p>
                <w:p w14:paraId="0FD25698" w14:textId="01ABC158" w:rsidR="008810A2" w:rsidRPr="008A57AE" w:rsidRDefault="00000000">
                  <w:pPr>
                    <w:pStyle w:val="TOC3"/>
                    <w:rPr>
                      <w:rFonts w:eastAsiaTheme="minorEastAsia"/>
                      <w:iCs w:val="0"/>
                      <w:noProof/>
                      <w:sz w:val="21"/>
                      <w:szCs w:val="22"/>
                      <w14:ligatures w14:val="standardContextual"/>
                    </w:rPr>
                  </w:pPr>
                  <w:hyperlink w:anchor="_Toc175065718"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网上外卖</w:t>
                    </w:r>
                    <w:r w:rsidR="00D921E0" w:rsidRPr="008A57AE">
                      <w:rPr>
                        <w:noProof/>
                      </w:rPr>
                      <w:tab/>
                    </w:r>
                    <w:r w:rsidR="00D921E0" w:rsidRPr="008A57AE">
                      <w:rPr>
                        <w:noProof/>
                      </w:rPr>
                      <w:fldChar w:fldCharType="begin"/>
                    </w:r>
                    <w:r w:rsidR="00D921E0" w:rsidRPr="008A57AE">
                      <w:rPr>
                        <w:noProof/>
                      </w:rPr>
                      <w:instrText xml:space="preserve"> PAGEREF _Toc175065718 \h </w:instrText>
                    </w:r>
                    <w:r w:rsidR="00D921E0" w:rsidRPr="008A57AE">
                      <w:rPr>
                        <w:noProof/>
                      </w:rPr>
                    </w:r>
                    <w:r w:rsidR="00D921E0" w:rsidRPr="008A57AE">
                      <w:rPr>
                        <w:noProof/>
                      </w:rPr>
                      <w:fldChar w:fldCharType="separate"/>
                    </w:r>
                    <w:r w:rsidR="00A057C8">
                      <w:rPr>
                        <w:noProof/>
                      </w:rPr>
                      <w:t>29</w:t>
                    </w:r>
                    <w:r w:rsidR="00D921E0" w:rsidRPr="008A57AE">
                      <w:rPr>
                        <w:noProof/>
                      </w:rPr>
                      <w:fldChar w:fldCharType="end"/>
                    </w:r>
                  </w:hyperlink>
                </w:p>
                <w:p w14:paraId="1350B999" w14:textId="66B1910B" w:rsidR="008810A2" w:rsidRPr="008A57AE" w:rsidRDefault="00000000">
                  <w:pPr>
                    <w:pStyle w:val="TOC3"/>
                    <w:rPr>
                      <w:rFonts w:eastAsiaTheme="minorEastAsia"/>
                      <w:iCs w:val="0"/>
                      <w:noProof/>
                      <w:sz w:val="21"/>
                      <w:szCs w:val="22"/>
                      <w14:ligatures w14:val="standardContextual"/>
                    </w:rPr>
                  </w:pPr>
                  <w:hyperlink w:anchor="_Toc175065719" w:history="1">
                    <w:r w:rsidR="00D921E0" w:rsidRPr="008A57AE">
                      <w:rPr>
                        <w:rStyle w:val="affc"/>
                        <w:rFonts w:eastAsia="楷体_GB2312"/>
                        <w:noProof/>
                      </w:rPr>
                      <w:t>（四）</w:t>
                    </w:r>
                    <w:r w:rsidR="00D921E0" w:rsidRPr="008A57AE">
                      <w:rPr>
                        <w:rStyle w:val="affc"/>
                        <w:rFonts w:eastAsia="楷体_GB2312"/>
                        <w:noProof/>
                      </w:rPr>
                      <w:t xml:space="preserve"> </w:t>
                    </w:r>
                    <w:r w:rsidR="00D921E0" w:rsidRPr="008A57AE">
                      <w:rPr>
                        <w:rStyle w:val="affc"/>
                        <w:rFonts w:eastAsia="楷体_GB2312"/>
                        <w:noProof/>
                      </w:rPr>
                      <w:t>在线旅行预订</w:t>
                    </w:r>
                    <w:r w:rsidR="00D921E0" w:rsidRPr="008A57AE">
                      <w:rPr>
                        <w:noProof/>
                      </w:rPr>
                      <w:tab/>
                    </w:r>
                    <w:r w:rsidR="00D921E0" w:rsidRPr="008A57AE">
                      <w:rPr>
                        <w:noProof/>
                      </w:rPr>
                      <w:fldChar w:fldCharType="begin"/>
                    </w:r>
                    <w:r w:rsidR="00D921E0" w:rsidRPr="008A57AE">
                      <w:rPr>
                        <w:noProof/>
                      </w:rPr>
                      <w:instrText xml:space="preserve"> PAGEREF _Toc175065719 \h </w:instrText>
                    </w:r>
                    <w:r w:rsidR="00D921E0" w:rsidRPr="008A57AE">
                      <w:rPr>
                        <w:noProof/>
                      </w:rPr>
                    </w:r>
                    <w:r w:rsidR="00D921E0" w:rsidRPr="008A57AE">
                      <w:rPr>
                        <w:noProof/>
                      </w:rPr>
                      <w:fldChar w:fldCharType="separate"/>
                    </w:r>
                    <w:r w:rsidR="00A057C8">
                      <w:rPr>
                        <w:noProof/>
                      </w:rPr>
                      <w:t>31</w:t>
                    </w:r>
                    <w:r w:rsidR="00D921E0" w:rsidRPr="008A57AE">
                      <w:rPr>
                        <w:noProof/>
                      </w:rPr>
                      <w:fldChar w:fldCharType="end"/>
                    </w:r>
                  </w:hyperlink>
                </w:p>
                <w:p w14:paraId="1AECD4C9" w14:textId="03B3A684"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20" w:history="1">
                    <w:r w:rsidR="00D921E0" w:rsidRPr="008A57AE">
                      <w:rPr>
                        <w:rStyle w:val="affc"/>
                        <w:rFonts w:ascii="Times New Roman" w:hAnsi="Times New Roman"/>
                        <w:noProof/>
                      </w:rPr>
                      <w:t>四、</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网络娱乐类应用</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_Toc175065720 \h </w:instrText>
                    </w:r>
                    <w:r w:rsidR="00D921E0" w:rsidRPr="008A57AE">
                      <w:rPr>
                        <w:rFonts w:ascii="Times New Roman" w:hAnsi="Times New Roman"/>
                        <w:noProof/>
                      </w:rPr>
                    </w:r>
                    <w:r w:rsidR="00D921E0" w:rsidRPr="008A57AE">
                      <w:rPr>
                        <w:rFonts w:ascii="Times New Roman" w:hAnsi="Times New Roman"/>
                        <w:noProof/>
                      </w:rPr>
                      <w:fldChar w:fldCharType="separate"/>
                    </w:r>
                    <w:r w:rsidR="00A057C8">
                      <w:rPr>
                        <w:rFonts w:ascii="Times New Roman" w:hAnsi="Times New Roman"/>
                        <w:noProof/>
                      </w:rPr>
                      <w:t>32</w:t>
                    </w:r>
                    <w:r w:rsidR="00D921E0" w:rsidRPr="008A57AE">
                      <w:rPr>
                        <w:rFonts w:ascii="Times New Roman" w:hAnsi="Times New Roman"/>
                        <w:noProof/>
                      </w:rPr>
                      <w:fldChar w:fldCharType="end"/>
                    </w:r>
                  </w:hyperlink>
                </w:p>
                <w:p w14:paraId="0AABF153" w14:textId="2A2F2500" w:rsidR="008810A2" w:rsidRPr="008A57AE" w:rsidRDefault="00000000">
                  <w:pPr>
                    <w:pStyle w:val="TOC3"/>
                    <w:rPr>
                      <w:rFonts w:eastAsiaTheme="minorEastAsia"/>
                      <w:iCs w:val="0"/>
                      <w:noProof/>
                      <w:sz w:val="21"/>
                      <w:szCs w:val="22"/>
                      <w14:ligatures w14:val="standardContextual"/>
                    </w:rPr>
                  </w:pPr>
                  <w:hyperlink w:anchor="_Toc175065721"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网络视频</w:t>
                    </w:r>
                    <w:r w:rsidR="00D921E0" w:rsidRPr="008A57AE">
                      <w:rPr>
                        <w:noProof/>
                      </w:rPr>
                      <w:tab/>
                    </w:r>
                    <w:r w:rsidR="00D921E0" w:rsidRPr="008A57AE">
                      <w:rPr>
                        <w:noProof/>
                      </w:rPr>
                      <w:fldChar w:fldCharType="begin"/>
                    </w:r>
                    <w:r w:rsidR="00D921E0" w:rsidRPr="008A57AE">
                      <w:rPr>
                        <w:noProof/>
                      </w:rPr>
                      <w:instrText xml:space="preserve"> PAGEREF _Toc175065721 \h </w:instrText>
                    </w:r>
                    <w:r w:rsidR="00D921E0" w:rsidRPr="008A57AE">
                      <w:rPr>
                        <w:noProof/>
                      </w:rPr>
                    </w:r>
                    <w:r w:rsidR="00D921E0" w:rsidRPr="008A57AE">
                      <w:rPr>
                        <w:noProof/>
                      </w:rPr>
                      <w:fldChar w:fldCharType="separate"/>
                    </w:r>
                    <w:r w:rsidR="00A057C8">
                      <w:rPr>
                        <w:noProof/>
                      </w:rPr>
                      <w:t>32</w:t>
                    </w:r>
                    <w:r w:rsidR="00D921E0" w:rsidRPr="008A57AE">
                      <w:rPr>
                        <w:noProof/>
                      </w:rPr>
                      <w:fldChar w:fldCharType="end"/>
                    </w:r>
                  </w:hyperlink>
                </w:p>
                <w:p w14:paraId="0155A984" w14:textId="5B079DF4" w:rsidR="008810A2" w:rsidRPr="008A57AE" w:rsidRDefault="00000000">
                  <w:pPr>
                    <w:pStyle w:val="TOC3"/>
                    <w:rPr>
                      <w:rFonts w:eastAsiaTheme="minorEastAsia"/>
                      <w:iCs w:val="0"/>
                      <w:noProof/>
                      <w:sz w:val="21"/>
                      <w:szCs w:val="22"/>
                      <w14:ligatures w14:val="standardContextual"/>
                    </w:rPr>
                  </w:pPr>
                  <w:hyperlink w:anchor="_Toc175065722"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网络直播</w:t>
                    </w:r>
                    <w:r w:rsidR="00D921E0" w:rsidRPr="008A57AE">
                      <w:rPr>
                        <w:noProof/>
                      </w:rPr>
                      <w:tab/>
                    </w:r>
                    <w:r w:rsidR="00D921E0" w:rsidRPr="008A57AE">
                      <w:rPr>
                        <w:noProof/>
                      </w:rPr>
                      <w:fldChar w:fldCharType="begin"/>
                    </w:r>
                    <w:r w:rsidR="00D921E0" w:rsidRPr="008A57AE">
                      <w:rPr>
                        <w:noProof/>
                      </w:rPr>
                      <w:instrText xml:space="preserve"> PAGEREF _Toc175065722 \h </w:instrText>
                    </w:r>
                    <w:r w:rsidR="00D921E0" w:rsidRPr="008A57AE">
                      <w:rPr>
                        <w:noProof/>
                      </w:rPr>
                    </w:r>
                    <w:r w:rsidR="00D921E0" w:rsidRPr="008A57AE">
                      <w:rPr>
                        <w:noProof/>
                      </w:rPr>
                      <w:fldChar w:fldCharType="separate"/>
                    </w:r>
                    <w:r w:rsidR="00A057C8">
                      <w:rPr>
                        <w:noProof/>
                      </w:rPr>
                      <w:t>33</w:t>
                    </w:r>
                    <w:r w:rsidR="00D921E0" w:rsidRPr="008A57AE">
                      <w:rPr>
                        <w:noProof/>
                      </w:rPr>
                      <w:fldChar w:fldCharType="end"/>
                    </w:r>
                  </w:hyperlink>
                </w:p>
                <w:p w14:paraId="4E54CE72" w14:textId="108EDADF" w:rsidR="008810A2" w:rsidRPr="008A57AE" w:rsidRDefault="00000000">
                  <w:pPr>
                    <w:pStyle w:val="TOC3"/>
                    <w:rPr>
                      <w:rFonts w:eastAsiaTheme="minorEastAsia"/>
                      <w:iCs w:val="0"/>
                      <w:noProof/>
                      <w:sz w:val="21"/>
                      <w:szCs w:val="22"/>
                      <w14:ligatures w14:val="standardContextual"/>
                    </w:rPr>
                  </w:pPr>
                  <w:hyperlink w:anchor="_Toc175065723"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网络音乐</w:t>
                    </w:r>
                    <w:r w:rsidR="00D921E0" w:rsidRPr="008A57AE">
                      <w:rPr>
                        <w:noProof/>
                      </w:rPr>
                      <w:tab/>
                    </w:r>
                    <w:r w:rsidR="00D921E0" w:rsidRPr="008A57AE">
                      <w:rPr>
                        <w:noProof/>
                      </w:rPr>
                      <w:fldChar w:fldCharType="begin"/>
                    </w:r>
                    <w:r w:rsidR="00D921E0" w:rsidRPr="008A57AE">
                      <w:rPr>
                        <w:noProof/>
                      </w:rPr>
                      <w:instrText xml:space="preserve"> PAGEREF _Toc175065723 \h </w:instrText>
                    </w:r>
                    <w:r w:rsidR="00D921E0" w:rsidRPr="008A57AE">
                      <w:rPr>
                        <w:noProof/>
                      </w:rPr>
                    </w:r>
                    <w:r w:rsidR="00D921E0" w:rsidRPr="008A57AE">
                      <w:rPr>
                        <w:noProof/>
                      </w:rPr>
                      <w:fldChar w:fldCharType="separate"/>
                    </w:r>
                    <w:r w:rsidR="00A057C8">
                      <w:rPr>
                        <w:noProof/>
                      </w:rPr>
                      <w:t>35</w:t>
                    </w:r>
                    <w:r w:rsidR="00D921E0" w:rsidRPr="008A57AE">
                      <w:rPr>
                        <w:noProof/>
                      </w:rPr>
                      <w:fldChar w:fldCharType="end"/>
                    </w:r>
                  </w:hyperlink>
                </w:p>
                <w:p w14:paraId="2680CCAD" w14:textId="70A35AC0" w:rsidR="008810A2" w:rsidRPr="008A57AE" w:rsidRDefault="00000000">
                  <w:pPr>
                    <w:pStyle w:val="TOC3"/>
                    <w:rPr>
                      <w:rFonts w:eastAsiaTheme="minorEastAsia"/>
                      <w:iCs w:val="0"/>
                      <w:noProof/>
                      <w:sz w:val="21"/>
                      <w:szCs w:val="22"/>
                      <w14:ligatures w14:val="standardContextual"/>
                    </w:rPr>
                  </w:pPr>
                  <w:hyperlink w:anchor="_Toc175065724" w:history="1">
                    <w:r w:rsidR="00D921E0" w:rsidRPr="008A57AE">
                      <w:rPr>
                        <w:rStyle w:val="affc"/>
                        <w:rFonts w:eastAsia="楷体_GB2312"/>
                        <w:noProof/>
                      </w:rPr>
                      <w:t>（四）</w:t>
                    </w:r>
                    <w:r w:rsidR="00D921E0" w:rsidRPr="008A57AE">
                      <w:rPr>
                        <w:rStyle w:val="affc"/>
                        <w:rFonts w:eastAsia="楷体_GB2312"/>
                        <w:noProof/>
                      </w:rPr>
                      <w:t xml:space="preserve"> </w:t>
                    </w:r>
                    <w:r w:rsidR="00D921E0" w:rsidRPr="008A57AE">
                      <w:rPr>
                        <w:rStyle w:val="affc"/>
                        <w:rFonts w:eastAsia="楷体_GB2312"/>
                        <w:noProof/>
                      </w:rPr>
                      <w:t>网络文学</w:t>
                    </w:r>
                    <w:r w:rsidR="00D921E0" w:rsidRPr="008A57AE">
                      <w:rPr>
                        <w:noProof/>
                      </w:rPr>
                      <w:tab/>
                    </w:r>
                    <w:r w:rsidR="00D921E0" w:rsidRPr="008A57AE">
                      <w:rPr>
                        <w:noProof/>
                      </w:rPr>
                      <w:fldChar w:fldCharType="begin"/>
                    </w:r>
                    <w:r w:rsidR="00D921E0" w:rsidRPr="008A57AE">
                      <w:rPr>
                        <w:noProof/>
                      </w:rPr>
                      <w:instrText xml:space="preserve"> PAGEREF _Toc175065724 \h </w:instrText>
                    </w:r>
                    <w:r w:rsidR="00D921E0" w:rsidRPr="008A57AE">
                      <w:rPr>
                        <w:noProof/>
                      </w:rPr>
                    </w:r>
                    <w:r w:rsidR="00D921E0" w:rsidRPr="008A57AE">
                      <w:rPr>
                        <w:noProof/>
                      </w:rPr>
                      <w:fldChar w:fldCharType="separate"/>
                    </w:r>
                    <w:r w:rsidR="00A057C8">
                      <w:rPr>
                        <w:noProof/>
                      </w:rPr>
                      <w:t>36</w:t>
                    </w:r>
                    <w:r w:rsidR="00D921E0" w:rsidRPr="008A57AE">
                      <w:rPr>
                        <w:noProof/>
                      </w:rPr>
                      <w:fldChar w:fldCharType="end"/>
                    </w:r>
                  </w:hyperlink>
                </w:p>
                <w:p w14:paraId="3638BEF2" w14:textId="5CA019C4"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25" w:history="1">
                    <w:r w:rsidR="00D921E0" w:rsidRPr="008A57AE">
                      <w:rPr>
                        <w:rStyle w:val="affc"/>
                        <w:rFonts w:ascii="Times New Roman" w:hAnsi="Times New Roman"/>
                        <w:noProof/>
                      </w:rPr>
                      <w:t>五、</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公共服务类应用</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_Toc175065725 \h </w:instrText>
                    </w:r>
                    <w:r w:rsidR="00D921E0" w:rsidRPr="008A57AE">
                      <w:rPr>
                        <w:rFonts w:ascii="Times New Roman" w:hAnsi="Times New Roman"/>
                        <w:noProof/>
                      </w:rPr>
                    </w:r>
                    <w:r w:rsidR="00D921E0" w:rsidRPr="008A57AE">
                      <w:rPr>
                        <w:rFonts w:ascii="Times New Roman" w:hAnsi="Times New Roman"/>
                        <w:noProof/>
                      </w:rPr>
                      <w:fldChar w:fldCharType="separate"/>
                    </w:r>
                    <w:r w:rsidR="00A057C8">
                      <w:rPr>
                        <w:rFonts w:ascii="Times New Roman" w:hAnsi="Times New Roman"/>
                        <w:noProof/>
                      </w:rPr>
                      <w:t>37</w:t>
                    </w:r>
                    <w:r w:rsidR="00D921E0" w:rsidRPr="008A57AE">
                      <w:rPr>
                        <w:rFonts w:ascii="Times New Roman" w:hAnsi="Times New Roman"/>
                        <w:noProof/>
                      </w:rPr>
                      <w:fldChar w:fldCharType="end"/>
                    </w:r>
                  </w:hyperlink>
                </w:p>
                <w:p w14:paraId="3A02294C" w14:textId="51F262EF" w:rsidR="008810A2" w:rsidRPr="008A57AE" w:rsidRDefault="00000000">
                  <w:pPr>
                    <w:pStyle w:val="TOC3"/>
                    <w:rPr>
                      <w:rFonts w:eastAsiaTheme="minorEastAsia"/>
                      <w:iCs w:val="0"/>
                      <w:noProof/>
                      <w:sz w:val="21"/>
                      <w:szCs w:val="22"/>
                      <w14:ligatures w14:val="standardContextual"/>
                    </w:rPr>
                  </w:pPr>
                  <w:hyperlink w:anchor="_Toc175065726"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网约车</w:t>
                    </w:r>
                    <w:r w:rsidR="00D921E0" w:rsidRPr="008A57AE">
                      <w:rPr>
                        <w:noProof/>
                      </w:rPr>
                      <w:tab/>
                    </w:r>
                    <w:r w:rsidR="00D921E0" w:rsidRPr="008A57AE">
                      <w:rPr>
                        <w:noProof/>
                      </w:rPr>
                      <w:fldChar w:fldCharType="begin"/>
                    </w:r>
                    <w:r w:rsidR="00D921E0" w:rsidRPr="008A57AE">
                      <w:rPr>
                        <w:noProof/>
                      </w:rPr>
                      <w:instrText xml:space="preserve"> PAGEREF _Toc175065726 \h </w:instrText>
                    </w:r>
                    <w:r w:rsidR="00D921E0" w:rsidRPr="008A57AE">
                      <w:rPr>
                        <w:noProof/>
                      </w:rPr>
                    </w:r>
                    <w:r w:rsidR="00D921E0" w:rsidRPr="008A57AE">
                      <w:rPr>
                        <w:noProof/>
                      </w:rPr>
                      <w:fldChar w:fldCharType="separate"/>
                    </w:r>
                    <w:r w:rsidR="00A057C8">
                      <w:rPr>
                        <w:noProof/>
                      </w:rPr>
                      <w:t>37</w:t>
                    </w:r>
                    <w:r w:rsidR="00D921E0" w:rsidRPr="008A57AE">
                      <w:rPr>
                        <w:noProof/>
                      </w:rPr>
                      <w:fldChar w:fldCharType="end"/>
                    </w:r>
                  </w:hyperlink>
                </w:p>
                <w:p w14:paraId="7FF72B36" w14:textId="1D235AA6" w:rsidR="008810A2" w:rsidRPr="008A57AE" w:rsidRDefault="00000000">
                  <w:pPr>
                    <w:pStyle w:val="TOC3"/>
                    <w:rPr>
                      <w:rFonts w:eastAsiaTheme="minorEastAsia"/>
                      <w:iCs w:val="0"/>
                      <w:noProof/>
                      <w:sz w:val="21"/>
                      <w:szCs w:val="22"/>
                      <w14:ligatures w14:val="standardContextual"/>
                    </w:rPr>
                  </w:pPr>
                  <w:hyperlink w:anchor="_Toc175065727"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互联网医疗</w:t>
                    </w:r>
                    <w:r w:rsidR="00D921E0" w:rsidRPr="008A57AE">
                      <w:rPr>
                        <w:noProof/>
                      </w:rPr>
                      <w:tab/>
                    </w:r>
                    <w:r w:rsidR="00D921E0" w:rsidRPr="008A57AE">
                      <w:rPr>
                        <w:noProof/>
                      </w:rPr>
                      <w:fldChar w:fldCharType="begin"/>
                    </w:r>
                    <w:r w:rsidR="00D921E0" w:rsidRPr="008A57AE">
                      <w:rPr>
                        <w:noProof/>
                      </w:rPr>
                      <w:instrText xml:space="preserve"> PAGEREF _Toc175065727 \h </w:instrText>
                    </w:r>
                    <w:r w:rsidR="00D921E0" w:rsidRPr="008A57AE">
                      <w:rPr>
                        <w:noProof/>
                      </w:rPr>
                    </w:r>
                    <w:r w:rsidR="00D921E0" w:rsidRPr="008A57AE">
                      <w:rPr>
                        <w:noProof/>
                      </w:rPr>
                      <w:fldChar w:fldCharType="separate"/>
                    </w:r>
                    <w:r w:rsidR="00A057C8">
                      <w:rPr>
                        <w:noProof/>
                      </w:rPr>
                      <w:t>38</w:t>
                    </w:r>
                    <w:r w:rsidR="00D921E0" w:rsidRPr="008A57AE">
                      <w:rPr>
                        <w:noProof/>
                      </w:rPr>
                      <w:fldChar w:fldCharType="end"/>
                    </w:r>
                  </w:hyperlink>
                </w:p>
                <w:p w14:paraId="4841B851" w14:textId="2BEAFA6D"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28" w:history="1">
                    <w:r w:rsidR="00D921E0" w:rsidRPr="008A57AE">
                      <w:rPr>
                        <w:rStyle w:val="affc"/>
                        <w:rFonts w:ascii="Times New Roman" w:hAnsi="Times New Roman"/>
                        <w:noProof/>
                      </w:rPr>
                      <w:t>六、</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专栏</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_Toc175065728 \h </w:instrText>
                    </w:r>
                    <w:r w:rsidR="00D921E0" w:rsidRPr="008A57AE">
                      <w:rPr>
                        <w:rFonts w:ascii="Times New Roman" w:hAnsi="Times New Roman"/>
                        <w:noProof/>
                      </w:rPr>
                    </w:r>
                    <w:r w:rsidR="00D921E0" w:rsidRPr="008A57AE">
                      <w:rPr>
                        <w:rFonts w:ascii="Times New Roman" w:hAnsi="Times New Roman"/>
                        <w:noProof/>
                      </w:rPr>
                      <w:fldChar w:fldCharType="separate"/>
                    </w:r>
                    <w:r w:rsidR="00A057C8">
                      <w:rPr>
                        <w:rFonts w:ascii="Times New Roman" w:hAnsi="Times New Roman"/>
                        <w:noProof/>
                      </w:rPr>
                      <w:t>40</w:t>
                    </w:r>
                    <w:r w:rsidR="00D921E0" w:rsidRPr="008A57AE">
                      <w:rPr>
                        <w:rFonts w:ascii="Times New Roman" w:hAnsi="Times New Roman"/>
                        <w:noProof/>
                      </w:rPr>
                      <w:fldChar w:fldCharType="end"/>
                    </w:r>
                  </w:hyperlink>
                </w:p>
                <w:p w14:paraId="1C48E574" w14:textId="4160E9CC" w:rsidR="008810A2" w:rsidRPr="008A57AE" w:rsidRDefault="00000000">
                  <w:pPr>
                    <w:pStyle w:val="TOC1"/>
                    <w:rPr>
                      <w:rFonts w:eastAsiaTheme="minorEastAsia"/>
                      <w:b w:val="0"/>
                      <w:bCs w:val="0"/>
                      <w:caps w:val="0"/>
                      <w:noProof/>
                      <w:sz w:val="21"/>
                      <w:szCs w:val="22"/>
                      <w14:ligatures w14:val="standardContextual"/>
                    </w:rPr>
                  </w:pPr>
                  <w:hyperlink w:anchor="_Toc175065729" w:history="1">
                    <w:r w:rsidR="00D921E0" w:rsidRPr="008A57AE">
                      <w:rPr>
                        <w:rStyle w:val="affc"/>
                        <w:noProof/>
                      </w:rPr>
                      <w:t>附录一</w:t>
                    </w:r>
                    <w:r w:rsidR="00D921E0" w:rsidRPr="008A57AE">
                      <w:rPr>
                        <w:rStyle w:val="affc"/>
                        <w:noProof/>
                      </w:rPr>
                      <w:t xml:space="preserve"> </w:t>
                    </w:r>
                    <w:r w:rsidR="00D921E0" w:rsidRPr="008A57AE">
                      <w:rPr>
                        <w:rStyle w:val="affc"/>
                        <w:noProof/>
                      </w:rPr>
                      <w:t>调查方法</w:t>
                    </w:r>
                    <w:r w:rsidR="00D921E0" w:rsidRPr="008A57AE">
                      <w:rPr>
                        <w:noProof/>
                      </w:rPr>
                      <w:tab/>
                    </w:r>
                    <w:r w:rsidR="00D921E0" w:rsidRPr="008A57AE">
                      <w:rPr>
                        <w:noProof/>
                      </w:rPr>
                      <w:fldChar w:fldCharType="begin"/>
                    </w:r>
                    <w:r w:rsidR="00D921E0" w:rsidRPr="008A57AE">
                      <w:rPr>
                        <w:noProof/>
                      </w:rPr>
                      <w:instrText xml:space="preserve"> PAGEREF _Toc175065729 \h </w:instrText>
                    </w:r>
                    <w:r w:rsidR="00D921E0" w:rsidRPr="008A57AE">
                      <w:rPr>
                        <w:noProof/>
                      </w:rPr>
                    </w:r>
                    <w:r w:rsidR="00D921E0" w:rsidRPr="008A57AE">
                      <w:rPr>
                        <w:noProof/>
                      </w:rPr>
                      <w:fldChar w:fldCharType="separate"/>
                    </w:r>
                    <w:r w:rsidR="00A057C8">
                      <w:rPr>
                        <w:noProof/>
                      </w:rPr>
                      <w:t>45</w:t>
                    </w:r>
                    <w:r w:rsidR="00D921E0" w:rsidRPr="008A57AE">
                      <w:rPr>
                        <w:noProof/>
                      </w:rPr>
                      <w:fldChar w:fldCharType="end"/>
                    </w:r>
                  </w:hyperlink>
                </w:p>
                <w:p w14:paraId="33974771" w14:textId="234893B6" w:rsidR="008810A2" w:rsidRPr="008A57AE" w:rsidRDefault="00000000">
                  <w:pPr>
                    <w:pStyle w:val="TOC1"/>
                    <w:rPr>
                      <w:rFonts w:eastAsiaTheme="minorEastAsia"/>
                      <w:b w:val="0"/>
                      <w:bCs w:val="0"/>
                      <w:caps w:val="0"/>
                      <w:noProof/>
                      <w:sz w:val="21"/>
                      <w:szCs w:val="22"/>
                      <w14:ligatures w14:val="standardContextual"/>
                    </w:rPr>
                  </w:pPr>
                  <w:hyperlink w:anchor="_Toc175065730" w:history="1">
                    <w:r w:rsidR="00D921E0" w:rsidRPr="008A57AE">
                      <w:rPr>
                        <w:rStyle w:val="affc"/>
                        <w:noProof/>
                      </w:rPr>
                      <w:t>附录二</w:t>
                    </w:r>
                    <w:r w:rsidR="00D921E0" w:rsidRPr="008A57AE">
                      <w:rPr>
                        <w:rStyle w:val="affc"/>
                        <w:noProof/>
                      </w:rPr>
                      <w:t xml:space="preserve"> </w:t>
                    </w:r>
                    <w:r w:rsidR="00D921E0" w:rsidRPr="008A57AE">
                      <w:rPr>
                        <w:rStyle w:val="affc"/>
                        <w:noProof/>
                      </w:rPr>
                      <w:t>互联网基础资源附表</w:t>
                    </w:r>
                    <w:r w:rsidR="00D921E0" w:rsidRPr="008A57AE">
                      <w:rPr>
                        <w:noProof/>
                      </w:rPr>
                      <w:tab/>
                    </w:r>
                    <w:r w:rsidR="00D921E0" w:rsidRPr="008A57AE">
                      <w:rPr>
                        <w:noProof/>
                      </w:rPr>
                      <w:fldChar w:fldCharType="begin"/>
                    </w:r>
                    <w:r w:rsidR="00D921E0" w:rsidRPr="008A57AE">
                      <w:rPr>
                        <w:noProof/>
                      </w:rPr>
                      <w:instrText xml:space="preserve"> PAGEREF _Toc175065730 \h </w:instrText>
                    </w:r>
                    <w:r w:rsidR="00D921E0" w:rsidRPr="008A57AE">
                      <w:rPr>
                        <w:noProof/>
                      </w:rPr>
                    </w:r>
                    <w:r w:rsidR="00D921E0" w:rsidRPr="008A57AE">
                      <w:rPr>
                        <w:noProof/>
                      </w:rPr>
                      <w:fldChar w:fldCharType="separate"/>
                    </w:r>
                    <w:r w:rsidR="00A057C8">
                      <w:rPr>
                        <w:noProof/>
                      </w:rPr>
                      <w:t>48</w:t>
                    </w:r>
                    <w:r w:rsidR="00D921E0" w:rsidRPr="008A57AE">
                      <w:rPr>
                        <w:noProof/>
                      </w:rPr>
                      <w:fldChar w:fldCharType="end"/>
                    </w:r>
                  </w:hyperlink>
                </w:p>
                <w:p w14:paraId="4D9C8BA6" w14:textId="5F9F9C2E" w:rsidR="008810A2" w:rsidRDefault="00000000">
                  <w:pPr>
                    <w:pStyle w:val="TOC1"/>
                    <w:rPr>
                      <w:rFonts w:asciiTheme="minorHAnsi" w:eastAsiaTheme="minorEastAsia" w:hAnsiTheme="minorHAnsi" w:cstheme="minorBidi"/>
                      <w:b w:val="0"/>
                      <w:bCs w:val="0"/>
                      <w:caps w:val="0"/>
                      <w:noProof/>
                      <w:sz w:val="21"/>
                      <w:szCs w:val="22"/>
                      <w14:ligatures w14:val="standardContextual"/>
                    </w:rPr>
                  </w:pPr>
                  <w:hyperlink w:anchor="_Toc175065731" w:history="1">
                    <w:r w:rsidR="00D921E0" w:rsidRPr="008A57AE">
                      <w:rPr>
                        <w:rStyle w:val="affc"/>
                        <w:noProof/>
                      </w:rPr>
                      <w:t>附录三</w:t>
                    </w:r>
                    <w:r w:rsidR="00D921E0" w:rsidRPr="008A57AE">
                      <w:rPr>
                        <w:rStyle w:val="affc"/>
                        <w:noProof/>
                      </w:rPr>
                      <w:t xml:space="preserve"> </w:t>
                    </w:r>
                    <w:r w:rsidR="00D921E0" w:rsidRPr="008A57AE">
                      <w:rPr>
                        <w:rStyle w:val="affc"/>
                        <w:noProof/>
                      </w:rPr>
                      <w:t>调查支持单位</w:t>
                    </w:r>
                    <w:r w:rsidR="00D921E0" w:rsidRPr="008A57AE">
                      <w:rPr>
                        <w:noProof/>
                      </w:rPr>
                      <w:tab/>
                    </w:r>
                    <w:r w:rsidR="00D921E0" w:rsidRPr="008A57AE">
                      <w:rPr>
                        <w:noProof/>
                      </w:rPr>
                      <w:fldChar w:fldCharType="begin"/>
                    </w:r>
                    <w:r w:rsidR="00D921E0" w:rsidRPr="008A57AE">
                      <w:rPr>
                        <w:noProof/>
                      </w:rPr>
                      <w:instrText xml:space="preserve"> PAGEREF _Toc175065731 \h </w:instrText>
                    </w:r>
                    <w:r w:rsidR="00D921E0" w:rsidRPr="008A57AE">
                      <w:rPr>
                        <w:noProof/>
                      </w:rPr>
                    </w:r>
                    <w:r w:rsidR="00D921E0" w:rsidRPr="008A57AE">
                      <w:rPr>
                        <w:noProof/>
                      </w:rPr>
                      <w:fldChar w:fldCharType="separate"/>
                    </w:r>
                    <w:r w:rsidR="00A057C8">
                      <w:rPr>
                        <w:noProof/>
                      </w:rPr>
                      <w:t>53</w:t>
                    </w:r>
                    <w:r w:rsidR="00D921E0" w:rsidRPr="008A57AE">
                      <w:rPr>
                        <w:noProof/>
                      </w:rPr>
                      <w:fldChar w:fldCharType="end"/>
                    </w:r>
                  </w:hyperlink>
                </w:p>
                <w:p w14:paraId="09A631BB" w14:textId="77777777" w:rsidR="008810A2" w:rsidRDefault="00D921E0">
                  <w:pPr>
                    <w:pStyle w:val="TOC1"/>
                  </w:pPr>
                  <w:r>
                    <w:fldChar w:fldCharType="end"/>
                  </w:r>
                </w:p>
              </w:sdtContent>
            </w:sdt>
          </w:sdtContent>
        </w:sdt>
      </w:sdtContent>
    </w:sdt>
    <w:p w14:paraId="47CE7EEB" w14:textId="77777777" w:rsidR="008810A2" w:rsidRDefault="00D921E0">
      <w:pPr>
        <w:widowControl/>
        <w:spacing w:line="240" w:lineRule="auto"/>
        <w:ind w:firstLineChars="0" w:firstLine="0"/>
        <w:jc w:val="left"/>
        <w:rPr>
          <w:color w:val="000000" w:themeColor="text1"/>
        </w:rPr>
      </w:pPr>
      <w:r>
        <w:rPr>
          <w:color w:val="000000" w:themeColor="text1"/>
        </w:rPr>
        <w:br w:type="page"/>
      </w:r>
    </w:p>
    <w:p w14:paraId="57E7C8BF" w14:textId="77777777" w:rsidR="008810A2" w:rsidRDefault="008810A2">
      <w:pPr>
        <w:ind w:firstLineChars="95" w:firstLine="199"/>
        <w:rPr>
          <w:color w:val="000000" w:themeColor="text1"/>
        </w:rPr>
        <w:sectPr w:rsidR="008810A2">
          <w:headerReference w:type="even" r:id="rId27"/>
          <w:headerReference w:type="default" r:id="rId28"/>
          <w:footerReference w:type="even" r:id="rId29"/>
          <w:footerReference w:type="default" r:id="rId30"/>
          <w:headerReference w:type="first" r:id="rId31"/>
          <w:pgSz w:w="11906" w:h="16838"/>
          <w:pgMar w:top="1440" w:right="1800" w:bottom="1440" w:left="1800" w:header="851" w:footer="992" w:gutter="0"/>
          <w:pgNumType w:fmt="upperRoman" w:start="1"/>
          <w:cols w:space="425"/>
          <w:docGrid w:type="lines" w:linePitch="312"/>
        </w:sectPr>
      </w:pPr>
    </w:p>
    <w:p w14:paraId="720D3D3F" w14:textId="77777777" w:rsidR="008810A2" w:rsidRDefault="00D921E0">
      <w:pPr>
        <w:pStyle w:val="1"/>
        <w:spacing w:before="120" w:after="120" w:line="312" w:lineRule="auto"/>
        <w:ind w:firstLineChars="0" w:firstLine="0"/>
        <w:rPr>
          <w:rFonts w:eastAsia="仿宋_GB2312"/>
          <w:b/>
          <w:color w:val="000000" w:themeColor="text1"/>
          <w:sz w:val="52"/>
          <w:szCs w:val="52"/>
        </w:rPr>
      </w:pPr>
      <w:bookmarkStart w:id="136" w:name="_Toc175065687"/>
      <w:bookmarkStart w:id="137" w:name="_Toc17129169"/>
      <w:bookmarkStart w:id="138" w:name="_Toc140143130"/>
      <w:bookmarkStart w:id="139" w:name="_Toc185062480"/>
      <w:bookmarkStart w:id="140" w:name="_Toc171076921"/>
      <w:bookmarkStart w:id="141" w:name="_Toc169939558"/>
      <w:bookmarkStart w:id="142" w:name="_Toc251246684"/>
      <w:bookmarkStart w:id="143" w:name="_Toc170028813"/>
      <w:bookmarkStart w:id="144" w:name="_Toc345950553"/>
      <w:bookmarkStart w:id="145" w:name="_Toc314260132"/>
      <w:bookmarkStart w:id="146" w:name="_Toc219196087"/>
      <w:bookmarkStart w:id="147" w:name="_Toc171146603"/>
      <w:bookmarkStart w:id="148" w:name="_Toc456859280"/>
      <w:bookmarkStart w:id="149" w:name="_Toc170906139"/>
      <w:bookmarkStart w:id="150" w:name="_Toc376784088"/>
      <w:bookmarkStart w:id="151" w:name="_Toc170283078"/>
      <w:bookmarkStart w:id="152" w:name="_Toc377551894"/>
      <w:bookmarkStart w:id="153" w:name="_Toc345950568"/>
      <w:bookmarkStart w:id="154" w:name="_Toc361770789"/>
      <w:bookmarkStart w:id="155" w:name="_Toc376784103"/>
      <w:bookmarkStart w:id="156" w:name="_Toc329704231"/>
      <w:bookmarkStart w:id="157" w:name="_Toc330398675"/>
      <w:bookmarkStart w:id="158" w:name="_Toc330334596"/>
      <w:bookmarkStart w:id="159" w:name="_Toc330398676"/>
      <w:bookmarkEnd w:id="23"/>
      <w:bookmarkEnd w:id="24"/>
      <w:bookmarkEnd w:id="25"/>
      <w:bookmarkEnd w:id="26"/>
      <w:bookmarkEnd w:id="27"/>
      <w:bookmarkEnd w:id="28"/>
      <w:bookmarkEnd w:id="29"/>
      <w:bookmarkEnd w:id="30"/>
      <w:bookmarkEnd w:id="31"/>
      <w:bookmarkEnd w:id="32"/>
      <w:bookmarkEnd w:id="33"/>
      <w:r>
        <w:rPr>
          <w:rFonts w:eastAsia="仿宋_GB2312" w:hint="eastAsia"/>
          <w:b/>
          <w:color w:val="000000" w:themeColor="text1"/>
          <w:sz w:val="52"/>
          <w:szCs w:val="52"/>
        </w:rPr>
        <w:lastRenderedPageBreak/>
        <w:t>核心数据</w:t>
      </w:r>
      <w:bookmarkEnd w:id="136"/>
    </w:p>
    <w:p w14:paraId="00F38F61" w14:textId="77777777" w:rsidR="008810A2" w:rsidRDefault="00D921E0">
      <w:pPr>
        <w:pStyle w:val="afff0"/>
        <w:numPr>
          <w:ilvl w:val="0"/>
          <w:numId w:val="1"/>
        </w:numPr>
        <w:spacing w:line="336" w:lineRule="auto"/>
        <w:ind w:firstLineChars="0"/>
      </w:pPr>
      <w:r>
        <w:t>截至</w:t>
      </w:r>
      <w:r>
        <w:t>2024</w:t>
      </w:r>
      <w:r>
        <w:t>年</w:t>
      </w:r>
      <w:r>
        <w:t>6</w:t>
      </w:r>
      <w:r>
        <w:t>月，</w:t>
      </w:r>
      <w:r>
        <w:rPr>
          <w:color w:val="000000" w:themeColor="text1"/>
        </w:rPr>
        <w:t>我国网民规模</w:t>
      </w:r>
      <w:r>
        <w:rPr>
          <w:rFonts w:hint="eastAsia"/>
          <w:color w:val="000000" w:themeColor="text1"/>
        </w:rPr>
        <w:t>近</w:t>
      </w:r>
      <w:r>
        <w:rPr>
          <w:color w:val="000000" w:themeColor="text1"/>
        </w:rPr>
        <w:t>1</w:t>
      </w:r>
      <w:r>
        <w:rPr>
          <w:rFonts w:hint="eastAsia"/>
          <w:color w:val="000000" w:themeColor="text1"/>
        </w:rPr>
        <w:t>1</w:t>
      </w:r>
      <w:r>
        <w:rPr>
          <w:color w:val="000000" w:themeColor="text1"/>
        </w:rPr>
        <w:t>亿人</w:t>
      </w:r>
      <w:r>
        <w:rPr>
          <w:rFonts w:hint="eastAsia"/>
          <w:color w:val="000000" w:themeColor="text1"/>
        </w:rPr>
        <w:t>（</w:t>
      </w:r>
      <w:r>
        <w:rPr>
          <w:rFonts w:hint="eastAsia"/>
          <w:color w:val="000000" w:themeColor="text1"/>
        </w:rPr>
        <w:t>10.9967</w:t>
      </w:r>
      <w:r>
        <w:rPr>
          <w:rFonts w:hint="eastAsia"/>
          <w:color w:val="000000" w:themeColor="text1"/>
        </w:rPr>
        <w:t>亿人）</w:t>
      </w:r>
      <w:r>
        <w:t>，较</w:t>
      </w:r>
      <w:r>
        <w:t>2023</w:t>
      </w:r>
      <w:r>
        <w:t>年</w:t>
      </w:r>
      <w:r>
        <w:t>12</w:t>
      </w:r>
      <w:r>
        <w:t>月增长</w:t>
      </w:r>
      <w:r>
        <w:t>742</w:t>
      </w:r>
      <w:r>
        <w:t>万人；互联网普及率达</w:t>
      </w:r>
      <w:r>
        <w:t>78.0%</w:t>
      </w:r>
      <w:r>
        <w:t>，较</w:t>
      </w:r>
      <w:r>
        <w:t>2023</w:t>
      </w:r>
      <w:r>
        <w:t>年</w:t>
      </w:r>
      <w:r>
        <w:t>12</w:t>
      </w:r>
      <w:r>
        <w:t>月提升</w:t>
      </w:r>
      <w:r>
        <w:rPr>
          <w:rFonts w:hint="eastAsia"/>
        </w:rPr>
        <w:t>0</w:t>
      </w:r>
      <w:r>
        <w:t>.5</w:t>
      </w:r>
      <w:r>
        <w:t>个百分点。</w:t>
      </w:r>
    </w:p>
    <w:p w14:paraId="1AD02886" w14:textId="77777777" w:rsidR="008810A2" w:rsidRDefault="00D921E0">
      <w:pPr>
        <w:pStyle w:val="afff0"/>
        <w:numPr>
          <w:ilvl w:val="0"/>
          <w:numId w:val="1"/>
        </w:numPr>
        <w:spacing w:line="336" w:lineRule="auto"/>
        <w:ind w:firstLineChars="0"/>
      </w:pPr>
      <w:r>
        <w:t>截至</w:t>
      </w:r>
      <w:r>
        <w:t>2024</w:t>
      </w:r>
      <w:r>
        <w:t>年</w:t>
      </w:r>
      <w:r>
        <w:t>6</w:t>
      </w:r>
      <w:r>
        <w:t>月，我国手机网民规模达</w:t>
      </w:r>
      <w:r>
        <w:t>10.96</w:t>
      </w:r>
      <w:r>
        <w:t>亿人，网民使用手机上网的比例为</w:t>
      </w:r>
      <w:r>
        <w:t>99.7%</w:t>
      </w:r>
      <w:r>
        <w:t>。</w:t>
      </w:r>
    </w:p>
    <w:p w14:paraId="3EAF5D92"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我国农村网民规模达</w:t>
      </w:r>
      <w:r>
        <w:t>3.04</w:t>
      </w:r>
      <w:r>
        <w:t>亿人，占网民整体的</w:t>
      </w:r>
      <w:r>
        <w:t>27.7%</w:t>
      </w:r>
      <w:r>
        <w:t>；城镇网民规模达</w:t>
      </w:r>
      <w:r>
        <w:t>7.95</w:t>
      </w:r>
      <w:r>
        <w:t>亿人，占网民整体的</w:t>
      </w:r>
      <w:r>
        <w:t>72.3%</w:t>
      </w:r>
      <w:r>
        <w:t>。</w:t>
      </w:r>
    </w:p>
    <w:p w14:paraId="68A5748E" w14:textId="77777777" w:rsidR="008810A2" w:rsidRDefault="00D921E0">
      <w:pPr>
        <w:pStyle w:val="afff0"/>
        <w:numPr>
          <w:ilvl w:val="0"/>
          <w:numId w:val="1"/>
        </w:numPr>
        <w:spacing w:line="336" w:lineRule="auto"/>
        <w:ind w:firstLineChars="0"/>
        <w:rPr>
          <w:szCs w:val="21"/>
        </w:rPr>
      </w:pPr>
      <w:r>
        <w:rPr>
          <w:szCs w:val="21"/>
        </w:rPr>
        <w:t>截至</w:t>
      </w:r>
      <w:r>
        <w:rPr>
          <w:szCs w:val="21"/>
        </w:rPr>
        <w:t>2024</w:t>
      </w:r>
      <w:r>
        <w:rPr>
          <w:szCs w:val="21"/>
        </w:rPr>
        <w:t>年</w:t>
      </w:r>
      <w:r>
        <w:rPr>
          <w:szCs w:val="21"/>
        </w:rPr>
        <w:t>6</w:t>
      </w:r>
      <w:r>
        <w:rPr>
          <w:szCs w:val="21"/>
        </w:rPr>
        <w:t>月，</w:t>
      </w:r>
      <w:r>
        <w:t>我国网民使用手机上网的比例达</w:t>
      </w:r>
      <w:r>
        <w:t>99.7%</w:t>
      </w:r>
      <w:r>
        <w:t>；使用台式电脑、笔记本电脑、电视和平板电脑上网的比例分别为</w:t>
      </w:r>
      <w:r>
        <w:t>34.2%</w:t>
      </w:r>
      <w:r>
        <w:t>、</w:t>
      </w:r>
      <w:r>
        <w:t>32.4%</w:t>
      </w:r>
      <w:r>
        <w:t>、</w:t>
      </w:r>
      <w:r>
        <w:t>25.2%</w:t>
      </w:r>
      <w:r>
        <w:t>和</w:t>
      </w:r>
      <w:r>
        <w:rPr>
          <w:rFonts w:hint="eastAsia"/>
        </w:rPr>
        <w:t>3</w:t>
      </w:r>
      <w:r>
        <w:t>0.5%</w:t>
      </w:r>
      <w:r>
        <w:rPr>
          <w:rFonts w:hint="eastAsia"/>
        </w:rPr>
        <w:t>；</w:t>
      </w:r>
      <w:r>
        <w:rPr>
          <w:color w:val="000000" w:themeColor="text1"/>
        </w:rPr>
        <w:t>使用</w:t>
      </w:r>
      <w:r>
        <w:rPr>
          <w:rFonts w:hint="eastAsia"/>
          <w:color w:val="000000" w:themeColor="text1"/>
        </w:rPr>
        <w:t>智能网联汽车</w:t>
      </w:r>
      <w:r>
        <w:rPr>
          <w:color w:val="000000" w:themeColor="text1"/>
        </w:rPr>
        <w:t>、</w:t>
      </w:r>
      <w:r>
        <w:rPr>
          <w:rFonts w:hint="eastAsia"/>
          <w:color w:val="000000" w:themeColor="text1"/>
        </w:rPr>
        <w:t>智能家居设备和个人可穿戴设备</w:t>
      </w:r>
      <w:r>
        <w:rPr>
          <w:color w:val="000000" w:themeColor="text1"/>
        </w:rPr>
        <w:t>上网的比例分别为</w:t>
      </w:r>
      <w:r>
        <w:rPr>
          <w:rFonts w:hint="eastAsia"/>
        </w:rPr>
        <w:t>1</w:t>
      </w:r>
      <w:r>
        <w:t>0.4%</w:t>
      </w:r>
      <w:r>
        <w:t>、</w:t>
      </w:r>
      <w:r>
        <w:rPr>
          <w:rFonts w:hint="eastAsia"/>
        </w:rPr>
        <w:t>2</w:t>
      </w:r>
      <w:r>
        <w:t>1.9%</w:t>
      </w:r>
      <w:r>
        <w:rPr>
          <w:rFonts w:hint="eastAsia"/>
        </w:rPr>
        <w:t>和</w:t>
      </w:r>
      <w:r>
        <w:t>24.2%</w:t>
      </w:r>
      <w:r>
        <w:rPr>
          <w:rFonts w:hint="eastAsia"/>
        </w:rPr>
        <w:t>。</w:t>
      </w:r>
    </w:p>
    <w:p w14:paraId="2E754AE5" w14:textId="77777777" w:rsidR="008810A2" w:rsidRDefault="00D921E0">
      <w:pPr>
        <w:pStyle w:val="afff0"/>
        <w:numPr>
          <w:ilvl w:val="0"/>
          <w:numId w:val="1"/>
        </w:numPr>
        <w:spacing w:line="336" w:lineRule="auto"/>
        <w:ind w:firstLineChars="0"/>
      </w:pPr>
      <w:r>
        <w:t>截至</w:t>
      </w:r>
      <w:r>
        <w:t>2024</w:t>
      </w:r>
      <w:r>
        <w:t>年</w:t>
      </w:r>
      <w:r>
        <w:t>6</w:t>
      </w:r>
      <w:r>
        <w:t>月，我国</w:t>
      </w:r>
      <w:r>
        <w:t>IPv6</w:t>
      </w:r>
      <w:r>
        <w:t>地址数量为</w:t>
      </w:r>
      <w:r>
        <w:rPr>
          <w:color w:val="000000" w:themeColor="text1"/>
        </w:rPr>
        <w:t>69080</w:t>
      </w:r>
      <w:r>
        <w:rPr>
          <w:color w:val="000000" w:themeColor="text1"/>
        </w:rPr>
        <w:t>块</w:t>
      </w:r>
      <w:r>
        <w:rPr>
          <w:color w:val="000000" w:themeColor="text1"/>
        </w:rPr>
        <w:t>/32</w:t>
      </w:r>
      <w:r>
        <w:t>，较</w:t>
      </w:r>
      <w:r>
        <w:t>2023</w:t>
      </w:r>
      <w:r>
        <w:t>年</w:t>
      </w:r>
      <w:r>
        <w:t>12</w:t>
      </w:r>
      <w:r>
        <w:t>月增长</w:t>
      </w:r>
      <w:r>
        <w:t>1.5%</w:t>
      </w:r>
      <w:r>
        <w:t>。</w:t>
      </w:r>
    </w:p>
    <w:p w14:paraId="64C70ED4" w14:textId="77777777" w:rsidR="008810A2" w:rsidRDefault="00D921E0">
      <w:pPr>
        <w:pStyle w:val="afff0"/>
        <w:numPr>
          <w:ilvl w:val="0"/>
          <w:numId w:val="1"/>
        </w:numPr>
        <w:spacing w:line="336" w:lineRule="auto"/>
        <w:ind w:firstLineChars="0"/>
      </w:pPr>
      <w:r>
        <w:t>截至</w:t>
      </w:r>
      <w:r>
        <w:t>2024</w:t>
      </w:r>
      <w:r>
        <w:t>年</w:t>
      </w:r>
      <w:r>
        <w:t>6</w:t>
      </w:r>
      <w:r>
        <w:t>月，我国域名总数为</w:t>
      </w:r>
      <w:r>
        <w:rPr>
          <w:color w:val="000000" w:themeColor="text1"/>
        </w:rPr>
        <w:t>3187</w:t>
      </w:r>
      <w:r>
        <w:t>万个，其中，</w:t>
      </w:r>
      <w:r>
        <w:rPr>
          <w:rFonts w:ascii="宋体" w:hAnsi="宋体"/>
        </w:rPr>
        <w:t>“</w:t>
      </w:r>
      <w:r>
        <w:t>.CN</w:t>
      </w:r>
      <w:r>
        <w:rPr>
          <w:rFonts w:ascii="宋体" w:hAnsi="宋体"/>
        </w:rPr>
        <w:t>”</w:t>
      </w:r>
      <w:r>
        <w:t>域名数量为</w:t>
      </w:r>
      <w:r>
        <w:rPr>
          <w:rFonts w:hint="eastAsia"/>
          <w:color w:val="000000" w:themeColor="text1"/>
          <w:szCs w:val="21"/>
        </w:rPr>
        <w:t>1956</w:t>
      </w:r>
      <w:r>
        <w:t>万个。</w:t>
      </w:r>
    </w:p>
    <w:p w14:paraId="4390BA79"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我国即时通信用户规模达</w:t>
      </w:r>
      <w:r>
        <w:t>10.78</w:t>
      </w:r>
      <w:r>
        <w:t>亿人，较</w:t>
      </w:r>
      <w:r>
        <w:rPr>
          <w:szCs w:val="21"/>
        </w:rPr>
        <w:t>2023</w:t>
      </w:r>
      <w:r>
        <w:rPr>
          <w:szCs w:val="21"/>
        </w:rPr>
        <w:t>年</w:t>
      </w:r>
      <w:r>
        <w:t>12</w:t>
      </w:r>
      <w:r>
        <w:t>月增长</w:t>
      </w:r>
      <w:r>
        <w:t>1824</w:t>
      </w:r>
      <w:r>
        <w:t>万人，占网民整体的</w:t>
      </w:r>
      <w:r>
        <w:t>98.0%</w:t>
      </w:r>
      <w:r>
        <w:t>。</w:t>
      </w:r>
    </w:p>
    <w:p w14:paraId="224E9D88"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我国网络视频用户规模</w:t>
      </w:r>
      <w:r>
        <w:rPr>
          <w:rFonts w:hint="eastAsia"/>
        </w:rPr>
        <w:t>达</w:t>
      </w:r>
      <w:r>
        <w:t>10.68</w:t>
      </w:r>
      <w:r>
        <w:t>亿人，较</w:t>
      </w:r>
      <w:r>
        <w:rPr>
          <w:szCs w:val="21"/>
        </w:rPr>
        <w:t>2023</w:t>
      </w:r>
      <w:r>
        <w:rPr>
          <w:szCs w:val="21"/>
        </w:rPr>
        <w:t>年</w:t>
      </w:r>
      <w:r>
        <w:t>12</w:t>
      </w:r>
      <w:r>
        <w:t>月增长</w:t>
      </w:r>
      <w:r>
        <w:t>125</w:t>
      </w:r>
      <w:r>
        <w:t>万人，占网民整体的</w:t>
      </w:r>
      <w:r>
        <w:t>97.1%</w:t>
      </w:r>
      <w:r>
        <w:t>。其中，短视频用户规模</w:t>
      </w:r>
      <w:r>
        <w:rPr>
          <w:rFonts w:hint="eastAsia"/>
        </w:rPr>
        <w:t>达</w:t>
      </w:r>
      <w:r>
        <w:t>10.50</w:t>
      </w:r>
      <w:r>
        <w:t>亿人，</w:t>
      </w:r>
      <w:r>
        <w:rPr>
          <w:rFonts w:hint="eastAsia"/>
        </w:rPr>
        <w:t>占网民整体的</w:t>
      </w:r>
      <w:r>
        <w:rPr>
          <w:rFonts w:hint="eastAsia"/>
        </w:rPr>
        <w:t>9</w:t>
      </w:r>
      <w:r>
        <w:t>5.5%</w:t>
      </w:r>
      <w:r>
        <w:rPr>
          <w:rFonts w:hint="eastAsia"/>
        </w:rPr>
        <w:t>，微短剧用户规模达</w:t>
      </w:r>
      <w:r>
        <w:rPr>
          <w:rFonts w:hint="eastAsia"/>
        </w:rPr>
        <w:t>5</w:t>
      </w:r>
      <w:r>
        <w:t>.76</w:t>
      </w:r>
      <w:r>
        <w:rPr>
          <w:rFonts w:hint="eastAsia"/>
        </w:rPr>
        <w:t>亿人，占网民整体的</w:t>
      </w:r>
      <w:r>
        <w:rPr>
          <w:rFonts w:hint="eastAsia"/>
        </w:rPr>
        <w:t>5</w:t>
      </w:r>
      <w:r>
        <w:t>2.4%</w:t>
      </w:r>
      <w:r>
        <w:t>。</w:t>
      </w:r>
    </w:p>
    <w:p w14:paraId="3CFE41A0"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我国网络支付用户规模达</w:t>
      </w:r>
      <w:r>
        <w:t>9.69</w:t>
      </w:r>
      <w:r>
        <w:t>亿人，较</w:t>
      </w:r>
      <w:r>
        <w:rPr>
          <w:szCs w:val="21"/>
        </w:rPr>
        <w:t>2023</w:t>
      </w:r>
      <w:r>
        <w:rPr>
          <w:szCs w:val="21"/>
        </w:rPr>
        <w:t>年</w:t>
      </w:r>
      <w:r>
        <w:t>12</w:t>
      </w:r>
      <w:r>
        <w:t>月增长</w:t>
      </w:r>
      <w:r>
        <w:t>1498</w:t>
      </w:r>
      <w:r>
        <w:t>万人，占网民整体的</w:t>
      </w:r>
      <w:r>
        <w:t>88.1%</w:t>
      </w:r>
      <w:r>
        <w:t>。</w:t>
      </w:r>
    </w:p>
    <w:p w14:paraId="01285B17"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我国网络购物用户规模达</w:t>
      </w:r>
      <w:r>
        <w:t>9.05</w:t>
      </w:r>
      <w:r>
        <w:t>亿人，占网民整体的</w:t>
      </w:r>
      <w:r>
        <w:t>82.3%</w:t>
      </w:r>
      <w:r>
        <w:t>。</w:t>
      </w:r>
    </w:p>
    <w:p w14:paraId="043B2B2B"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我国搜索引擎用户规模达</w:t>
      </w:r>
      <w:r>
        <w:t>8.24</w:t>
      </w:r>
      <w:r>
        <w:t>亿人，占网民整体的</w:t>
      </w:r>
      <w:r>
        <w:t>75.0%</w:t>
      </w:r>
      <w:r>
        <w:t>。</w:t>
      </w:r>
    </w:p>
    <w:p w14:paraId="6CF3D1BC"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我国网络直播用户规模达</w:t>
      </w:r>
      <w:r>
        <w:t>7.77</w:t>
      </w:r>
      <w:r>
        <w:t>亿人，占网民整体的</w:t>
      </w:r>
      <w:r>
        <w:t>70.6%</w:t>
      </w:r>
      <w:r>
        <w:t>。</w:t>
      </w:r>
    </w:p>
    <w:p w14:paraId="60C1F8B6"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我国网络音乐用户规模达</w:t>
      </w:r>
      <w:r>
        <w:t>7.29</w:t>
      </w:r>
      <w:r>
        <w:t>亿人，较</w:t>
      </w:r>
      <w:r>
        <w:rPr>
          <w:szCs w:val="21"/>
        </w:rPr>
        <w:t>2023</w:t>
      </w:r>
      <w:r>
        <w:rPr>
          <w:szCs w:val="21"/>
        </w:rPr>
        <w:t>年</w:t>
      </w:r>
      <w:r>
        <w:t>12</w:t>
      </w:r>
      <w:r>
        <w:t>月增长</w:t>
      </w:r>
      <w:r>
        <w:t>1450</w:t>
      </w:r>
      <w:r>
        <w:t>万人，占网民整体的</w:t>
      </w:r>
      <w:r>
        <w:t>66.3%</w:t>
      </w:r>
      <w:r>
        <w:t>。</w:t>
      </w:r>
    </w:p>
    <w:p w14:paraId="0C6F4FC9"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我国网上外卖用户规模达</w:t>
      </w:r>
      <w:r>
        <w:t>5.53</w:t>
      </w:r>
      <w:r>
        <w:t>亿人，较</w:t>
      </w:r>
      <w:r>
        <w:rPr>
          <w:szCs w:val="21"/>
        </w:rPr>
        <w:t>2023</w:t>
      </w:r>
      <w:r>
        <w:rPr>
          <w:szCs w:val="21"/>
        </w:rPr>
        <w:t>年</w:t>
      </w:r>
      <w:r>
        <w:t>12</w:t>
      </w:r>
      <w:r>
        <w:t>月增长</w:t>
      </w:r>
      <w:r>
        <w:t>850</w:t>
      </w:r>
      <w:r>
        <w:t>万人，占网民整体的</w:t>
      </w:r>
      <w:r>
        <w:t>50.3%</w:t>
      </w:r>
      <w:r>
        <w:t>。</w:t>
      </w:r>
    </w:p>
    <w:p w14:paraId="25549A8D"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我国网络文学用户规模达</w:t>
      </w:r>
      <w:r>
        <w:t>5.16</w:t>
      </w:r>
      <w:r>
        <w:t>亿人，占网民整体的</w:t>
      </w:r>
      <w:r>
        <w:t>46.9%</w:t>
      </w:r>
      <w:r>
        <w:t>。</w:t>
      </w:r>
    </w:p>
    <w:p w14:paraId="39B9E678"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proofErr w:type="gramStart"/>
      <w:r>
        <w:t>我国网约车</w:t>
      </w:r>
      <w:proofErr w:type="gramEnd"/>
      <w:r>
        <w:t>用户规模达</w:t>
      </w:r>
      <w:r>
        <w:t>5.03</w:t>
      </w:r>
      <w:r>
        <w:t>亿人，占网民整体的</w:t>
      </w:r>
      <w:r>
        <w:rPr>
          <w:rFonts w:hint="eastAsia"/>
        </w:rPr>
        <w:t>4</w:t>
      </w:r>
      <w:r>
        <w:t>5.7%</w:t>
      </w:r>
      <w:r>
        <w:t>。</w:t>
      </w:r>
    </w:p>
    <w:p w14:paraId="2BCB5BDE"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我国在线旅行预订用户规模达</w:t>
      </w:r>
      <w:r>
        <w:t>4.97</w:t>
      </w:r>
      <w:r>
        <w:t>亿人，占网民整体的</w:t>
      </w:r>
      <w:r>
        <w:t>45.2%</w:t>
      </w:r>
      <w:r>
        <w:t>。</w:t>
      </w:r>
    </w:p>
    <w:p w14:paraId="3390180F" w14:textId="77777777" w:rsidR="008810A2" w:rsidRDefault="00D921E0">
      <w:pPr>
        <w:pStyle w:val="afff0"/>
        <w:numPr>
          <w:ilvl w:val="0"/>
          <w:numId w:val="1"/>
        </w:numPr>
        <w:spacing w:line="336" w:lineRule="auto"/>
        <w:ind w:firstLineChars="0"/>
        <w:rPr>
          <w:rFonts w:eastAsia="仿宋_GB2312"/>
          <w:b/>
          <w:color w:val="000000" w:themeColor="text1"/>
          <w:sz w:val="52"/>
          <w:szCs w:val="52"/>
        </w:rPr>
      </w:pPr>
      <w:r>
        <w:rPr>
          <w:szCs w:val="21"/>
        </w:rPr>
        <w:t>截至</w:t>
      </w:r>
      <w:r>
        <w:rPr>
          <w:szCs w:val="21"/>
        </w:rPr>
        <w:t>2024</w:t>
      </w:r>
      <w:r>
        <w:rPr>
          <w:szCs w:val="21"/>
        </w:rPr>
        <w:t>年</w:t>
      </w:r>
      <w:r>
        <w:rPr>
          <w:szCs w:val="21"/>
        </w:rPr>
        <w:t>6</w:t>
      </w:r>
      <w:r>
        <w:rPr>
          <w:szCs w:val="21"/>
        </w:rPr>
        <w:t>月，我国互联网医疗用户规模达</w:t>
      </w:r>
      <w:r>
        <w:rPr>
          <w:szCs w:val="21"/>
        </w:rPr>
        <w:t>3.65</w:t>
      </w:r>
      <w:r>
        <w:rPr>
          <w:szCs w:val="21"/>
        </w:rPr>
        <w:t>亿人，占网民整体的</w:t>
      </w:r>
      <w:r>
        <w:rPr>
          <w:szCs w:val="21"/>
        </w:rPr>
        <w:t>33.2%</w:t>
      </w:r>
      <w:r>
        <w:rPr>
          <w:szCs w:val="21"/>
        </w:rPr>
        <w:t>。</w:t>
      </w:r>
      <w:r>
        <w:rPr>
          <w:rFonts w:eastAsia="仿宋_GB2312"/>
          <w:b/>
          <w:color w:val="000000" w:themeColor="text1"/>
          <w:sz w:val="52"/>
          <w:szCs w:val="52"/>
        </w:rPr>
        <w:br w:type="page"/>
      </w:r>
    </w:p>
    <w:p w14:paraId="39F7CB12" w14:textId="77777777" w:rsidR="008810A2" w:rsidRDefault="00D921E0">
      <w:pPr>
        <w:widowControl/>
        <w:spacing w:line="240" w:lineRule="auto"/>
        <w:ind w:firstLineChars="0" w:firstLine="0"/>
        <w:jc w:val="left"/>
        <w:rPr>
          <w:rFonts w:eastAsia="仿宋_GB2312"/>
          <w:b/>
          <w:color w:val="000000" w:themeColor="text1"/>
          <w:sz w:val="52"/>
          <w:szCs w:val="52"/>
        </w:rPr>
      </w:pPr>
      <w:r>
        <w:rPr>
          <w:rFonts w:eastAsia="仿宋_GB2312"/>
          <w:b/>
          <w:noProof/>
          <w:color w:val="000000" w:themeColor="text1"/>
          <w:sz w:val="52"/>
          <w:szCs w:val="52"/>
        </w:rPr>
        <w:lastRenderedPageBreak/>
        <mc:AlternateContent>
          <mc:Choice Requires="wps">
            <w:drawing>
              <wp:anchor distT="0" distB="0" distL="114300" distR="114300" simplePos="0" relativeHeight="251674624" behindDoc="0" locked="0" layoutInCell="1" allowOverlap="1" wp14:anchorId="0ECDB1E5" wp14:editId="042E4DDA">
                <wp:simplePos x="0" y="0"/>
                <wp:positionH relativeFrom="column">
                  <wp:posOffset>-813435</wp:posOffset>
                </wp:positionH>
                <wp:positionV relativeFrom="paragraph">
                  <wp:posOffset>-802640</wp:posOffset>
                </wp:positionV>
                <wp:extent cx="6980555" cy="10429875"/>
                <wp:effectExtent l="0" t="0" r="0" b="9525"/>
                <wp:wrapNone/>
                <wp:docPr id="1728248508" name="矩形 2"/>
                <wp:cNvGraphicFramePr/>
                <a:graphic xmlns:a="http://schemas.openxmlformats.org/drawingml/2006/main">
                  <a:graphicData uri="http://schemas.microsoft.com/office/word/2010/wordprocessingShape">
                    <wps:wsp>
                      <wps:cNvSpPr/>
                      <wps:spPr>
                        <a:xfrm>
                          <a:off x="0" y="0"/>
                          <a:ext cx="6980664" cy="104301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wpsCustomData="http://www.wps.cn/officeDocument/2013/wpsCustomData">
            <w:pict>
              <v:rect id="矩形 2" o:spid="_x0000_s1026" o:spt="1" style="position:absolute;left:0pt;margin-left:-64.05pt;margin-top:-63.2pt;height:821.25pt;width:549.65pt;z-index:251674624;v-text-anchor:middle;mso-width-relative:page;mso-height-relative:page;" fillcolor="#FFFFFF [3212]" filled="t" stroked="f" coordsize="21600,21600" o:gfxdata="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unKVM3AAAAA4BAAAPAAAAAAAAAAEAIAAAACIAAABk&#10;cnMvZG93bnJldi54bWxQSwECFAAUAAAACACHTuJAuH6vwHQCAADWBAAADgAAAAAAAAABACAAAAAr&#10;AQAAZHJzL2Uyb0RvYy54bWxQSwUGAAAAAAYABgBZAQAAEQYAAAAA&#10;">
                <v:fill on="t" focussize="0,0"/>
                <v:stroke on="f" weight="1pt" miterlimit="8" joinstyle="miter"/>
                <v:imagedata o:title=""/>
                <o:lock v:ext="edit" aspectratio="f"/>
              </v:rect>
            </w:pict>
          </mc:Fallback>
        </mc:AlternateContent>
      </w:r>
      <w:r>
        <w:rPr>
          <w:rFonts w:eastAsia="仿宋_GB2312"/>
          <w:b/>
          <w:color w:val="000000" w:themeColor="text1"/>
          <w:sz w:val="52"/>
          <w:szCs w:val="52"/>
        </w:rPr>
        <w:br w:type="page"/>
      </w:r>
    </w:p>
    <w:p w14:paraId="72364049" w14:textId="77777777" w:rsidR="008810A2" w:rsidRDefault="00D921E0">
      <w:pPr>
        <w:pStyle w:val="1"/>
        <w:numPr>
          <w:ilvl w:val="0"/>
          <w:numId w:val="2"/>
        </w:numPr>
        <w:spacing w:before="120" w:after="600" w:line="312" w:lineRule="auto"/>
        <w:ind w:left="0" w:firstLineChars="0" w:firstLine="0"/>
        <w:rPr>
          <w:rFonts w:eastAsia="仿宋_GB2312"/>
          <w:b/>
          <w:color w:val="000000" w:themeColor="text1"/>
          <w:sz w:val="52"/>
          <w:szCs w:val="52"/>
        </w:rPr>
      </w:pPr>
      <w:r>
        <w:rPr>
          <w:rFonts w:eastAsia="仿宋_GB2312" w:hint="eastAsia"/>
          <w:b/>
          <w:color w:val="000000" w:themeColor="text1"/>
          <w:sz w:val="52"/>
          <w:szCs w:val="52"/>
        </w:rPr>
        <w:lastRenderedPageBreak/>
        <w:t xml:space="preserve"> </w:t>
      </w:r>
      <w:bookmarkStart w:id="160" w:name="_Toc175065688"/>
      <w:r>
        <w:rPr>
          <w:rFonts w:eastAsia="仿宋_GB2312"/>
          <w:b/>
          <w:color w:val="000000" w:themeColor="text1"/>
          <w:sz w:val="52"/>
          <w:szCs w:val="52"/>
        </w:rPr>
        <w:t>互联网</w:t>
      </w:r>
      <w:r>
        <w:rPr>
          <w:rFonts w:eastAsia="仿宋_GB2312" w:hint="eastAsia"/>
          <w:b/>
          <w:color w:val="000000" w:themeColor="text1"/>
          <w:sz w:val="52"/>
          <w:szCs w:val="52"/>
        </w:rPr>
        <w:t>基础</w:t>
      </w:r>
      <w:r>
        <w:rPr>
          <w:rFonts w:eastAsia="仿宋_GB2312"/>
          <w:b/>
          <w:color w:val="000000" w:themeColor="text1"/>
          <w:sz w:val="52"/>
          <w:szCs w:val="52"/>
        </w:rPr>
        <w:t>资源</w:t>
      </w:r>
      <w:r>
        <w:rPr>
          <w:rFonts w:eastAsia="仿宋_GB2312" w:hint="eastAsia"/>
          <w:b/>
          <w:color w:val="000000" w:themeColor="text1"/>
          <w:sz w:val="52"/>
          <w:szCs w:val="52"/>
        </w:rPr>
        <w:t>发展</w:t>
      </w:r>
      <w:r>
        <w:rPr>
          <w:rFonts w:eastAsia="仿宋_GB2312"/>
          <w:b/>
          <w:color w:val="000000" w:themeColor="text1"/>
          <w:sz w:val="52"/>
          <w:szCs w:val="52"/>
        </w:rPr>
        <w:t>及</w:t>
      </w:r>
      <w:r>
        <w:rPr>
          <w:rFonts w:eastAsia="仿宋_GB2312" w:hint="eastAsia"/>
          <w:b/>
          <w:color w:val="000000" w:themeColor="text1"/>
          <w:sz w:val="52"/>
          <w:szCs w:val="52"/>
        </w:rPr>
        <w:t>应用</w:t>
      </w:r>
      <w:r>
        <w:rPr>
          <w:rFonts w:eastAsia="仿宋_GB2312"/>
          <w:b/>
          <w:color w:val="000000" w:themeColor="text1"/>
          <w:sz w:val="52"/>
          <w:szCs w:val="52"/>
        </w:rPr>
        <w:t>状况</w:t>
      </w:r>
      <w:bookmarkEnd w:id="160"/>
    </w:p>
    <w:p w14:paraId="264D2D0D" w14:textId="77777777" w:rsidR="008810A2" w:rsidRDefault="00D921E0">
      <w:pPr>
        <w:ind w:firstLine="420"/>
        <w:rPr>
          <w:bCs/>
        </w:rPr>
      </w:pPr>
      <w:r>
        <w:rPr>
          <w:bCs/>
        </w:rPr>
        <w:t>2024</w:t>
      </w:r>
      <w:r>
        <w:rPr>
          <w:bCs/>
        </w:rPr>
        <w:t>年上半年，我国网络资源供给持续丰富，网络设施不断夯实，移动互联网流量保持较快增势，</w:t>
      </w:r>
      <w:r>
        <w:rPr>
          <w:rFonts w:hint="eastAsia"/>
          <w:bCs/>
        </w:rPr>
        <w:t>为数字经济</w:t>
      </w:r>
      <w:r>
        <w:rPr>
          <w:bCs/>
        </w:rPr>
        <w:t>高质量发展</w:t>
      </w:r>
      <w:r>
        <w:rPr>
          <w:rFonts w:hint="eastAsia"/>
          <w:bCs/>
        </w:rPr>
        <w:t>提供坚实支撑</w:t>
      </w:r>
      <w:r>
        <w:rPr>
          <w:bCs/>
        </w:rPr>
        <w:t>。</w:t>
      </w:r>
      <w:r>
        <w:rPr>
          <w:b/>
        </w:rPr>
        <w:t>一是网络资源供给持续丰富。</w:t>
      </w:r>
      <w:r>
        <w:rPr>
          <w:color w:val="000000"/>
        </w:rPr>
        <w:t>截至</w:t>
      </w:r>
      <w:r>
        <w:rPr>
          <w:color w:val="000000"/>
        </w:rPr>
        <w:t>6</w:t>
      </w:r>
      <w:r>
        <w:rPr>
          <w:color w:val="000000"/>
        </w:rPr>
        <w:t>月，我国互联网国家顶级域名注册量近</w:t>
      </w:r>
      <w:r>
        <w:rPr>
          <w:color w:val="000000"/>
        </w:rPr>
        <w:t>2000</w:t>
      </w:r>
      <w:r>
        <w:rPr>
          <w:color w:val="000000"/>
        </w:rPr>
        <w:t>万；</w:t>
      </w:r>
      <w:r>
        <w:rPr>
          <w:color w:val="000000"/>
        </w:rPr>
        <w:t>IPv6</w:t>
      </w:r>
      <w:r>
        <w:rPr>
          <w:color w:val="000000"/>
        </w:rPr>
        <w:t>规模部署应用扎实推进，截至</w:t>
      </w:r>
      <w:r>
        <w:rPr>
          <w:color w:val="000000"/>
        </w:rPr>
        <w:t>5</w:t>
      </w:r>
      <w:r>
        <w:rPr>
          <w:color w:val="000000"/>
        </w:rPr>
        <w:t>月底，活跃用户数达</w:t>
      </w:r>
      <w:r>
        <w:rPr>
          <w:color w:val="000000"/>
        </w:rPr>
        <w:t>7.94</w:t>
      </w:r>
      <w:r>
        <w:rPr>
          <w:color w:val="000000"/>
        </w:rPr>
        <w:t>亿，移动网络中的</w:t>
      </w:r>
      <w:r>
        <w:rPr>
          <w:color w:val="000000"/>
        </w:rPr>
        <w:t>IPv6</w:t>
      </w:r>
      <w:r>
        <w:rPr>
          <w:color w:val="000000"/>
        </w:rPr>
        <w:t>流量占比达</w:t>
      </w:r>
      <w:r>
        <w:rPr>
          <w:color w:val="000000"/>
        </w:rPr>
        <w:t>64.56%</w:t>
      </w:r>
      <w:r>
        <w:rPr>
          <w:rStyle w:val="affe"/>
          <w:color w:val="000000"/>
        </w:rPr>
        <w:footnoteReference w:id="1"/>
      </w:r>
      <w:r>
        <w:rPr>
          <w:color w:val="000000"/>
        </w:rPr>
        <w:t>。</w:t>
      </w:r>
      <w:r>
        <w:rPr>
          <w:b/>
          <w:bCs/>
          <w:color w:val="000000"/>
        </w:rPr>
        <w:t>二是网络设施</w:t>
      </w:r>
      <w:r>
        <w:rPr>
          <w:b/>
          <w:bCs/>
        </w:rPr>
        <w:t>底座不断筑牢</w:t>
      </w:r>
      <w:r>
        <w:rPr>
          <w:b/>
        </w:rPr>
        <w:t>。</w:t>
      </w:r>
      <w:r>
        <w:rPr>
          <w:color w:val="000000"/>
        </w:rPr>
        <w:t>截至</w:t>
      </w:r>
      <w:r>
        <w:rPr>
          <w:color w:val="000000"/>
        </w:rPr>
        <w:t>6</w:t>
      </w:r>
      <w:r>
        <w:rPr>
          <w:color w:val="000000"/>
        </w:rPr>
        <w:t>月，我国移动电话</w:t>
      </w:r>
      <w:r>
        <w:rPr>
          <w:color w:val="000000"/>
        </w:rPr>
        <w:t>5G</w:t>
      </w:r>
      <w:r>
        <w:rPr>
          <w:color w:val="000000"/>
        </w:rPr>
        <w:t>基站总数达</w:t>
      </w:r>
      <w:r>
        <w:rPr>
          <w:color w:val="000000"/>
        </w:rPr>
        <w:t>391.7</w:t>
      </w:r>
      <w:r>
        <w:rPr>
          <w:color w:val="000000"/>
        </w:rPr>
        <w:t>万个；具备千兆网络服务能力的</w:t>
      </w:r>
      <w:r>
        <w:rPr>
          <w:color w:val="000000"/>
        </w:rPr>
        <w:t>10G PON</w:t>
      </w:r>
      <w:r>
        <w:rPr>
          <w:color w:val="000000"/>
        </w:rPr>
        <w:t>端口数达</w:t>
      </w:r>
      <w:r>
        <w:rPr>
          <w:color w:val="000000"/>
        </w:rPr>
        <w:t>2597</w:t>
      </w:r>
      <w:r>
        <w:rPr>
          <w:color w:val="000000"/>
        </w:rPr>
        <w:t>万个</w:t>
      </w:r>
      <w:r>
        <w:rPr>
          <w:rStyle w:val="affe"/>
          <w:color w:val="000000"/>
        </w:rPr>
        <w:footnoteReference w:id="2"/>
      </w:r>
      <w:r>
        <w:rPr>
          <w:color w:val="000000"/>
        </w:rPr>
        <w:t>。</w:t>
      </w:r>
      <w:r>
        <w:rPr>
          <w:b/>
          <w:bCs/>
          <w:color w:val="070707"/>
        </w:rPr>
        <w:t>三是移动互联网流量保持较快增势。</w:t>
      </w:r>
      <w:r>
        <w:rPr>
          <w:color w:val="070707"/>
        </w:rPr>
        <w:t>截至</w:t>
      </w:r>
      <w:r>
        <w:rPr>
          <w:color w:val="070707"/>
        </w:rPr>
        <w:t>6</w:t>
      </w:r>
      <w:r>
        <w:rPr>
          <w:color w:val="070707"/>
        </w:rPr>
        <w:t>月，移动互联网累计流量达</w:t>
      </w:r>
      <w:r>
        <w:rPr>
          <w:color w:val="070707"/>
        </w:rPr>
        <w:t>1604</w:t>
      </w:r>
      <w:r>
        <w:rPr>
          <w:color w:val="070707"/>
        </w:rPr>
        <w:t>亿</w:t>
      </w:r>
      <w:r>
        <w:rPr>
          <w:color w:val="070707"/>
        </w:rPr>
        <w:t>GB</w:t>
      </w:r>
      <w:r>
        <w:rPr>
          <w:color w:val="070707"/>
        </w:rPr>
        <w:t>，同比增长</w:t>
      </w:r>
      <w:r>
        <w:rPr>
          <w:color w:val="070707"/>
        </w:rPr>
        <w:t>12.6%</w:t>
      </w:r>
      <w:r>
        <w:rPr>
          <w:color w:val="070707"/>
        </w:rPr>
        <w:t>；</w:t>
      </w:r>
      <w:r>
        <w:rPr>
          <w:color w:val="070707"/>
        </w:rPr>
        <w:t>6</w:t>
      </w:r>
      <w:r>
        <w:rPr>
          <w:color w:val="070707"/>
        </w:rPr>
        <w:t>月当月户均移动互联网接入流量（</w:t>
      </w:r>
      <w:r>
        <w:rPr>
          <w:color w:val="070707"/>
        </w:rPr>
        <w:t>DOU</w:t>
      </w:r>
      <w:r>
        <w:rPr>
          <w:color w:val="070707"/>
        </w:rPr>
        <w:t>）达</w:t>
      </w:r>
      <w:r>
        <w:rPr>
          <w:color w:val="070707"/>
        </w:rPr>
        <w:t>18.15GB/</w:t>
      </w:r>
      <w:r>
        <w:rPr>
          <w:color w:val="070707"/>
        </w:rPr>
        <w:t>户</w:t>
      </w:r>
      <w:r>
        <w:rPr>
          <w:color w:val="070707"/>
        </w:rPr>
        <w:t>·</w:t>
      </w:r>
      <w:r>
        <w:rPr>
          <w:color w:val="070707"/>
        </w:rPr>
        <w:t>月，同比增长</w:t>
      </w:r>
      <w:r>
        <w:rPr>
          <w:color w:val="070707"/>
        </w:rPr>
        <w:t>8.1%</w:t>
      </w:r>
      <w:r>
        <w:rPr>
          <w:rStyle w:val="affe"/>
          <w:color w:val="000000"/>
        </w:rPr>
        <w:footnoteReference w:id="3"/>
      </w:r>
      <w:r>
        <w:rPr>
          <w:color w:val="070707"/>
        </w:rPr>
        <w:t>，表明移动互联网应用持续蓬勃发展，日渐渗透网民日常学习、工作、生活，提供服务便利。</w:t>
      </w:r>
    </w:p>
    <w:p w14:paraId="79C6215D" w14:textId="77777777" w:rsidR="008810A2" w:rsidRDefault="00D921E0">
      <w:pPr>
        <w:pStyle w:val="2"/>
        <w:numPr>
          <w:ilvl w:val="0"/>
          <w:numId w:val="3"/>
        </w:numPr>
        <w:tabs>
          <w:tab w:val="left" w:pos="360"/>
        </w:tabs>
        <w:spacing w:before="400" w:after="300" w:line="312" w:lineRule="auto"/>
        <w:ind w:left="0" w:firstLine="0"/>
        <w:rPr>
          <w:rFonts w:eastAsia="黑体"/>
          <w:color w:val="000000" w:themeColor="text1"/>
          <w:sz w:val="36"/>
          <w:szCs w:val="36"/>
        </w:rPr>
      </w:pPr>
      <w:bookmarkStart w:id="161" w:name="_Toc142917087"/>
      <w:bookmarkStart w:id="162" w:name="_Toc175065689"/>
      <w:r>
        <w:rPr>
          <w:rFonts w:eastAsia="黑体"/>
          <w:color w:val="000000" w:themeColor="text1"/>
          <w:sz w:val="36"/>
          <w:szCs w:val="36"/>
        </w:rPr>
        <w:t>互联网基础资源</w:t>
      </w:r>
      <w:bookmarkEnd w:id="161"/>
      <w:r>
        <w:rPr>
          <w:rFonts w:eastAsia="黑体"/>
          <w:color w:val="000000" w:themeColor="text1"/>
          <w:sz w:val="36"/>
          <w:szCs w:val="36"/>
        </w:rPr>
        <w:t>发展状况</w:t>
      </w:r>
      <w:bookmarkEnd w:id="162"/>
    </w:p>
    <w:p w14:paraId="40FADE3A"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w:t>
      </w:r>
      <w:r>
        <w:rPr>
          <w:color w:val="000000" w:themeColor="text1"/>
          <w:szCs w:val="21"/>
        </w:rPr>
        <w:t>IPv4</w:t>
      </w:r>
      <w:r>
        <w:rPr>
          <w:color w:val="000000" w:themeColor="text1"/>
          <w:szCs w:val="21"/>
        </w:rPr>
        <w:t>地址数量为</w:t>
      </w:r>
      <w:r>
        <w:rPr>
          <w:color w:val="000000" w:themeColor="text1"/>
          <w:szCs w:val="21"/>
        </w:rPr>
        <w:t>39235</w:t>
      </w:r>
      <w:r>
        <w:rPr>
          <w:color w:val="000000" w:themeColor="text1"/>
          <w:szCs w:val="21"/>
        </w:rPr>
        <w:t>万个，</w:t>
      </w:r>
      <w:r>
        <w:rPr>
          <w:color w:val="000000" w:themeColor="text1"/>
          <w:szCs w:val="21"/>
        </w:rPr>
        <w:t>IPv6</w:t>
      </w:r>
      <w:r>
        <w:rPr>
          <w:color w:val="000000" w:themeColor="text1"/>
          <w:szCs w:val="21"/>
        </w:rPr>
        <w:t>地址数量为</w:t>
      </w:r>
      <w:r>
        <w:rPr>
          <w:color w:val="000000" w:themeColor="text1"/>
          <w:szCs w:val="21"/>
        </w:rPr>
        <w:t>69080</w:t>
      </w:r>
      <w:r>
        <w:rPr>
          <w:color w:val="000000" w:themeColor="text1"/>
          <w:szCs w:val="21"/>
        </w:rPr>
        <w:t>块</w:t>
      </w:r>
      <w:r>
        <w:rPr>
          <w:color w:val="000000" w:themeColor="text1"/>
          <w:szCs w:val="21"/>
        </w:rPr>
        <w:t>/32</w:t>
      </w:r>
      <w:r>
        <w:rPr>
          <w:color w:val="000000" w:themeColor="text1"/>
          <w:szCs w:val="21"/>
        </w:rPr>
        <w:t>，</w:t>
      </w:r>
      <w:r>
        <w:rPr>
          <w:color w:val="000000" w:themeColor="text1"/>
          <w:szCs w:val="21"/>
        </w:rPr>
        <w:t>IPv6</w:t>
      </w:r>
      <w:r>
        <w:rPr>
          <w:color w:val="000000" w:themeColor="text1"/>
          <w:szCs w:val="21"/>
        </w:rPr>
        <w:t>活跃用户数达</w:t>
      </w:r>
      <w:r>
        <w:rPr>
          <w:color w:val="000000" w:themeColor="text1"/>
          <w:szCs w:val="21"/>
        </w:rPr>
        <w:t>7.94</w:t>
      </w:r>
      <w:r>
        <w:rPr>
          <w:color w:val="000000" w:themeColor="text1"/>
          <w:szCs w:val="21"/>
        </w:rPr>
        <w:t>亿</w:t>
      </w:r>
      <w:r>
        <w:rPr>
          <w:rStyle w:val="affe"/>
          <w:color w:val="000000" w:themeColor="text1"/>
          <w:szCs w:val="21"/>
        </w:rPr>
        <w:footnoteReference w:id="4"/>
      </w:r>
      <w:r>
        <w:rPr>
          <w:color w:val="000000" w:themeColor="text1"/>
          <w:szCs w:val="21"/>
        </w:rPr>
        <w:t>；我国域名总数为</w:t>
      </w:r>
      <w:r>
        <w:rPr>
          <w:color w:val="000000" w:themeColor="text1"/>
          <w:szCs w:val="21"/>
        </w:rPr>
        <w:t>3187</w:t>
      </w:r>
      <w:r>
        <w:rPr>
          <w:color w:val="000000" w:themeColor="text1"/>
          <w:szCs w:val="21"/>
        </w:rPr>
        <w:t>万个</w:t>
      </w:r>
      <w:r>
        <w:rPr>
          <w:rStyle w:val="affe"/>
          <w:color w:val="000000" w:themeColor="text1"/>
          <w:szCs w:val="21"/>
        </w:rPr>
        <w:footnoteReference w:id="5"/>
      </w:r>
      <w:r>
        <w:rPr>
          <w:color w:val="000000" w:themeColor="text1"/>
          <w:szCs w:val="21"/>
        </w:rPr>
        <w:t>，其中，</w:t>
      </w:r>
      <w:r>
        <w:rPr>
          <w:rFonts w:ascii="宋体" w:hAnsi="宋体"/>
          <w:color w:val="000000" w:themeColor="text1"/>
          <w:szCs w:val="21"/>
        </w:rPr>
        <w:t>“</w:t>
      </w:r>
      <w:r>
        <w:rPr>
          <w:color w:val="000000" w:themeColor="text1"/>
          <w:szCs w:val="21"/>
        </w:rPr>
        <w:t>.CN</w:t>
      </w:r>
      <w:r>
        <w:rPr>
          <w:rFonts w:ascii="宋体" w:hAnsi="宋体"/>
          <w:color w:val="000000" w:themeColor="text1"/>
          <w:szCs w:val="21"/>
        </w:rPr>
        <w:t>”</w:t>
      </w:r>
      <w:r>
        <w:rPr>
          <w:color w:val="000000" w:themeColor="text1"/>
          <w:szCs w:val="21"/>
        </w:rPr>
        <w:t>域名数量为</w:t>
      </w:r>
      <w:r>
        <w:rPr>
          <w:color w:val="000000" w:themeColor="text1"/>
          <w:szCs w:val="21"/>
        </w:rPr>
        <w:t>1956</w:t>
      </w:r>
      <w:r>
        <w:rPr>
          <w:color w:val="000000" w:themeColor="text1"/>
          <w:szCs w:val="21"/>
        </w:rPr>
        <w:t>万个；我国移动电话基站总数达</w:t>
      </w:r>
      <w:r>
        <w:rPr>
          <w:color w:val="000000" w:themeColor="text1"/>
          <w:szCs w:val="21"/>
        </w:rPr>
        <w:t>1188</w:t>
      </w:r>
      <w:r>
        <w:rPr>
          <w:color w:val="000000" w:themeColor="text1"/>
          <w:szCs w:val="21"/>
        </w:rPr>
        <w:t>万个，互联网宽带接入端口数量达</w:t>
      </w:r>
      <w:r>
        <w:rPr>
          <w:color w:val="000000" w:themeColor="text1"/>
          <w:szCs w:val="21"/>
        </w:rPr>
        <w:t>11.7</w:t>
      </w:r>
      <w:r>
        <w:rPr>
          <w:color w:val="000000" w:themeColor="text1"/>
          <w:szCs w:val="21"/>
        </w:rPr>
        <w:t>亿个，光缆线路总长度达</w:t>
      </w:r>
      <w:r>
        <w:rPr>
          <w:color w:val="000000" w:themeColor="text1"/>
          <w:szCs w:val="21"/>
        </w:rPr>
        <w:t>6712</w:t>
      </w:r>
      <w:r>
        <w:rPr>
          <w:color w:val="000000" w:themeColor="text1"/>
          <w:szCs w:val="21"/>
        </w:rPr>
        <w:t>万公里</w:t>
      </w:r>
      <w:r>
        <w:rPr>
          <w:rStyle w:val="affe"/>
          <w:color w:val="000000"/>
        </w:rPr>
        <w:footnoteReference w:id="6"/>
      </w:r>
      <w:r>
        <w:rPr>
          <w:color w:val="000000" w:themeColor="text1"/>
          <w:szCs w:val="21"/>
        </w:rPr>
        <w:t>。</w:t>
      </w:r>
    </w:p>
    <w:p w14:paraId="732C3135" w14:textId="77777777" w:rsidR="008810A2" w:rsidRDefault="00D921E0">
      <w:pPr>
        <w:ind w:firstLine="420"/>
      </w:pPr>
      <w:r>
        <w:br w:type="page"/>
      </w:r>
    </w:p>
    <w:p w14:paraId="0168ABCE" w14:textId="7D876DF6" w:rsidR="008810A2" w:rsidRDefault="00D921E0" w:rsidP="002B0D05">
      <w:pPr>
        <w:pStyle w:val="a4"/>
        <w:rPr>
          <w:rFonts w:eastAsia="宋体"/>
        </w:rPr>
      </w:pPr>
      <w:r>
        <w:rPr>
          <w:rFonts w:eastAsia="宋体"/>
        </w:rPr>
        <w:lastRenderedPageBreak/>
        <w:t>表</w:t>
      </w:r>
      <w:r>
        <w:t xml:space="preserve"> </w:t>
      </w:r>
      <w:r>
        <w:fldChar w:fldCharType="begin"/>
      </w:r>
      <w:r>
        <w:instrText xml:space="preserve"> SEQ </w:instrText>
      </w:r>
      <w:r>
        <w:instrText>表</w:instrText>
      </w:r>
      <w:r>
        <w:instrText xml:space="preserve"> \* ARABIC </w:instrText>
      </w:r>
      <w:r>
        <w:fldChar w:fldCharType="separate"/>
      </w:r>
      <w:r w:rsidR="00A057C8">
        <w:rPr>
          <w:noProof/>
        </w:rPr>
        <w:t>1</w:t>
      </w:r>
      <w:r>
        <w:fldChar w:fldCharType="end"/>
      </w:r>
      <w:r>
        <w:t xml:space="preserve">  2024.6</w:t>
      </w:r>
      <w:r>
        <w:rPr>
          <w:rFonts w:eastAsia="宋体"/>
        </w:rPr>
        <w:t>互联网基础资源发展状况</w:t>
      </w:r>
    </w:p>
    <w:tbl>
      <w:tblPr>
        <w:tblStyle w:val="1414"/>
        <w:tblW w:w="3565" w:type="pct"/>
        <w:jc w:val="center"/>
        <w:tblBorders>
          <w:left w:val="none" w:sz="0" w:space="0" w:color="auto"/>
          <w:right w:val="none" w:sz="0" w:space="0" w:color="auto"/>
        </w:tblBorders>
        <w:tblLook w:val="04A0" w:firstRow="1" w:lastRow="0" w:firstColumn="1" w:lastColumn="0" w:noHBand="0" w:noVBand="1"/>
      </w:tblPr>
      <w:tblGrid>
        <w:gridCol w:w="2268"/>
        <w:gridCol w:w="1082"/>
        <w:gridCol w:w="2544"/>
      </w:tblGrid>
      <w:tr w:rsidR="008810A2" w14:paraId="027940EF" w14:textId="77777777">
        <w:trPr>
          <w:trHeight w:val="324"/>
          <w:jc w:val="center"/>
        </w:trPr>
        <w:tc>
          <w:tcPr>
            <w:tcW w:w="1923" w:type="pct"/>
            <w:noWrap/>
          </w:tcPr>
          <w:p w14:paraId="2793A088" w14:textId="77777777" w:rsidR="008810A2" w:rsidRDefault="00D921E0">
            <w:pPr>
              <w:spacing w:line="240" w:lineRule="auto"/>
              <w:ind w:firstLineChars="0" w:firstLine="0"/>
              <w:jc w:val="center"/>
              <w:rPr>
                <w:color w:val="000000"/>
                <w:kern w:val="0"/>
                <w:sz w:val="20"/>
                <w:szCs w:val="20"/>
              </w:rPr>
            </w:pPr>
            <w:r>
              <w:rPr>
                <w:color w:val="000000"/>
                <w:kern w:val="0"/>
                <w:sz w:val="20"/>
                <w:szCs w:val="20"/>
              </w:rPr>
              <w:t>分类</w:t>
            </w:r>
          </w:p>
        </w:tc>
        <w:tc>
          <w:tcPr>
            <w:tcW w:w="918" w:type="pct"/>
          </w:tcPr>
          <w:p w14:paraId="658238B4" w14:textId="77777777" w:rsidR="008810A2" w:rsidRDefault="00D921E0">
            <w:pPr>
              <w:spacing w:line="240" w:lineRule="auto"/>
              <w:ind w:firstLineChars="0" w:firstLine="0"/>
              <w:jc w:val="center"/>
              <w:rPr>
                <w:color w:val="000000"/>
                <w:kern w:val="0"/>
                <w:sz w:val="20"/>
                <w:szCs w:val="20"/>
              </w:rPr>
            </w:pPr>
            <w:r>
              <w:rPr>
                <w:color w:val="000000"/>
                <w:kern w:val="0"/>
                <w:sz w:val="20"/>
                <w:szCs w:val="20"/>
              </w:rPr>
              <w:t>单位</w:t>
            </w:r>
          </w:p>
        </w:tc>
        <w:tc>
          <w:tcPr>
            <w:tcW w:w="2158" w:type="pct"/>
          </w:tcPr>
          <w:p w14:paraId="4FC638AE" w14:textId="77777777" w:rsidR="008810A2" w:rsidRPr="00294097" w:rsidRDefault="00D921E0">
            <w:pPr>
              <w:spacing w:line="240" w:lineRule="auto"/>
              <w:ind w:firstLineChars="0" w:firstLine="0"/>
              <w:jc w:val="center"/>
              <w:rPr>
                <w:rFonts w:ascii="Times New Roman" w:hAnsi="Times New Roman"/>
                <w:color w:val="000000"/>
                <w:kern w:val="0"/>
                <w:sz w:val="20"/>
                <w:szCs w:val="20"/>
              </w:rPr>
            </w:pPr>
            <w:r w:rsidRPr="00294097">
              <w:rPr>
                <w:rFonts w:ascii="Times New Roman" w:hAnsi="Times New Roman"/>
                <w:color w:val="000000"/>
                <w:kern w:val="0"/>
                <w:sz w:val="20"/>
                <w:szCs w:val="20"/>
              </w:rPr>
              <w:t>2024</w:t>
            </w:r>
            <w:r w:rsidRPr="00294097">
              <w:rPr>
                <w:rFonts w:ascii="Times New Roman" w:hAnsi="Times New Roman"/>
                <w:color w:val="000000"/>
                <w:kern w:val="0"/>
                <w:sz w:val="20"/>
                <w:szCs w:val="20"/>
              </w:rPr>
              <w:t>年</w:t>
            </w:r>
            <w:r w:rsidRPr="00294097">
              <w:rPr>
                <w:rFonts w:ascii="Times New Roman" w:hAnsi="Times New Roman"/>
                <w:color w:val="000000"/>
                <w:kern w:val="0"/>
                <w:sz w:val="20"/>
                <w:szCs w:val="20"/>
              </w:rPr>
              <w:t>6</w:t>
            </w:r>
            <w:r w:rsidRPr="00294097">
              <w:rPr>
                <w:rFonts w:ascii="Times New Roman" w:hAnsi="Times New Roman"/>
                <w:color w:val="000000"/>
                <w:kern w:val="0"/>
                <w:sz w:val="20"/>
                <w:szCs w:val="20"/>
              </w:rPr>
              <w:t>月</w:t>
            </w:r>
          </w:p>
        </w:tc>
      </w:tr>
      <w:tr w:rsidR="008810A2" w:rsidRPr="00840A0B" w14:paraId="5B4F4729" w14:textId="77777777">
        <w:trPr>
          <w:trHeight w:val="324"/>
          <w:jc w:val="center"/>
        </w:trPr>
        <w:tc>
          <w:tcPr>
            <w:tcW w:w="1923" w:type="pct"/>
            <w:noWrap/>
          </w:tcPr>
          <w:p w14:paraId="00BCBC83"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IPv4</w:t>
            </w:r>
          </w:p>
          <w:p w14:paraId="63989D18"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IPv6</w:t>
            </w:r>
          </w:p>
          <w:p w14:paraId="70CF98B2"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IPv6</w:t>
            </w:r>
            <w:r w:rsidRPr="00840A0B">
              <w:rPr>
                <w:rFonts w:ascii="Times New Roman" w:hAnsi="Times New Roman"/>
                <w:color w:val="000000"/>
                <w:kern w:val="0"/>
                <w:sz w:val="20"/>
                <w:szCs w:val="20"/>
              </w:rPr>
              <w:t>活跃用户数</w:t>
            </w:r>
            <w:r w:rsidRPr="00840A0B">
              <w:rPr>
                <w:rStyle w:val="affe"/>
                <w:rFonts w:ascii="Times New Roman" w:hAnsi="Times New Roman"/>
                <w:kern w:val="0"/>
                <w:sz w:val="20"/>
                <w:szCs w:val="20"/>
              </w:rPr>
              <w:footnoteReference w:id="7"/>
            </w:r>
          </w:p>
          <w:p w14:paraId="6721E2D7"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域名</w:t>
            </w:r>
          </w:p>
          <w:p w14:paraId="1A084DD1" w14:textId="77777777" w:rsidR="008810A2" w:rsidRPr="00840A0B" w:rsidRDefault="00D921E0">
            <w:pPr>
              <w:spacing w:line="240" w:lineRule="auto"/>
              <w:ind w:firstLineChars="100"/>
              <w:rPr>
                <w:rFonts w:ascii="Times New Roman" w:hAnsi="Times New Roman"/>
                <w:color w:val="000000"/>
                <w:kern w:val="0"/>
                <w:sz w:val="20"/>
                <w:szCs w:val="20"/>
              </w:rPr>
            </w:pPr>
            <w:r w:rsidRPr="00840A0B">
              <w:rPr>
                <w:rFonts w:ascii="Times New Roman" w:hAnsi="Times New Roman"/>
                <w:color w:val="000000"/>
                <w:kern w:val="0"/>
                <w:sz w:val="20"/>
                <w:szCs w:val="20"/>
              </w:rPr>
              <w:t>其中：</w:t>
            </w:r>
            <w:r w:rsidRPr="00014C9D">
              <w:rPr>
                <w:rFonts w:ascii="宋体" w:hAnsi="宋体"/>
                <w:color w:val="000000"/>
                <w:kern w:val="0"/>
                <w:sz w:val="20"/>
                <w:szCs w:val="20"/>
              </w:rPr>
              <w:t>“</w:t>
            </w:r>
            <w:r w:rsidRPr="00840A0B">
              <w:rPr>
                <w:rFonts w:ascii="Times New Roman" w:hAnsi="Times New Roman"/>
                <w:color w:val="000000"/>
                <w:kern w:val="0"/>
                <w:sz w:val="20"/>
                <w:szCs w:val="20"/>
              </w:rPr>
              <w:t>.CN</w:t>
            </w:r>
            <w:r w:rsidRPr="00014C9D">
              <w:rPr>
                <w:rFonts w:asciiTheme="minorEastAsia" w:eastAsiaTheme="minorEastAsia" w:hAnsiTheme="minorEastAsia"/>
                <w:color w:val="000000"/>
                <w:kern w:val="0"/>
                <w:sz w:val="20"/>
                <w:szCs w:val="20"/>
              </w:rPr>
              <w:t>”域</w:t>
            </w:r>
            <w:r w:rsidRPr="00840A0B">
              <w:rPr>
                <w:rFonts w:ascii="Times New Roman" w:hAnsi="Times New Roman"/>
                <w:color w:val="000000"/>
                <w:kern w:val="0"/>
                <w:sz w:val="20"/>
                <w:szCs w:val="20"/>
              </w:rPr>
              <w:t>名</w:t>
            </w:r>
          </w:p>
          <w:p w14:paraId="4B9DFA21"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移动电话基站</w:t>
            </w:r>
          </w:p>
          <w:p w14:paraId="0691AE77"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互联网宽带接入端口</w:t>
            </w:r>
          </w:p>
          <w:p w14:paraId="1DDEC2FB"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光缆线路长度</w:t>
            </w:r>
          </w:p>
        </w:tc>
        <w:tc>
          <w:tcPr>
            <w:tcW w:w="918" w:type="pct"/>
          </w:tcPr>
          <w:p w14:paraId="05EAD00F"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个</w:t>
            </w:r>
          </w:p>
          <w:p w14:paraId="1C3C7DC2" w14:textId="77777777" w:rsidR="008810A2" w:rsidRPr="00840A0B" w:rsidRDefault="00D921E0">
            <w:pPr>
              <w:spacing w:line="240" w:lineRule="auto"/>
              <w:ind w:rightChars="74" w:right="155" w:firstLineChars="0" w:firstLine="0"/>
              <w:jc w:val="right"/>
              <w:rPr>
                <w:rFonts w:ascii="Times New Roman" w:hAnsi="Times New Roman"/>
                <w:color w:val="000000"/>
                <w:kern w:val="0"/>
                <w:sz w:val="20"/>
                <w:szCs w:val="20"/>
              </w:rPr>
            </w:pPr>
            <w:r w:rsidRPr="00840A0B">
              <w:rPr>
                <w:rFonts w:ascii="Times New Roman" w:hAnsi="Times New Roman"/>
                <w:color w:val="000000"/>
                <w:kern w:val="0"/>
                <w:sz w:val="20"/>
                <w:szCs w:val="20"/>
              </w:rPr>
              <w:t>块</w:t>
            </w:r>
            <w:r w:rsidRPr="00840A0B">
              <w:rPr>
                <w:rFonts w:ascii="Times New Roman" w:hAnsi="Times New Roman"/>
                <w:color w:val="000000"/>
                <w:kern w:val="0"/>
                <w:sz w:val="20"/>
                <w:szCs w:val="20"/>
              </w:rPr>
              <w:t>/32</w:t>
            </w:r>
          </w:p>
          <w:p w14:paraId="57B138B1"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亿</w:t>
            </w:r>
          </w:p>
          <w:p w14:paraId="44D8C780"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个</w:t>
            </w:r>
          </w:p>
          <w:p w14:paraId="4B6A543D"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个</w:t>
            </w:r>
          </w:p>
          <w:p w14:paraId="492E80BA"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万个</w:t>
            </w:r>
          </w:p>
          <w:p w14:paraId="180D2DE0"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亿个</w:t>
            </w:r>
          </w:p>
          <w:p w14:paraId="4CA596BB"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proofErr w:type="gramStart"/>
            <w:r w:rsidRPr="00840A0B">
              <w:rPr>
                <w:rFonts w:ascii="Times New Roman" w:hAnsi="Times New Roman"/>
                <w:kern w:val="0"/>
                <w:sz w:val="20"/>
                <w:szCs w:val="20"/>
              </w:rPr>
              <w:t>万公里</w:t>
            </w:r>
            <w:proofErr w:type="gramEnd"/>
          </w:p>
        </w:tc>
        <w:tc>
          <w:tcPr>
            <w:tcW w:w="2158" w:type="pct"/>
            <w:shd w:val="clear" w:color="auto" w:fill="auto"/>
            <w:vAlign w:val="center"/>
          </w:tcPr>
          <w:p w14:paraId="07947228"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392,347,136</w:t>
            </w:r>
          </w:p>
          <w:p w14:paraId="64EC236C"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69,080</w:t>
            </w:r>
          </w:p>
          <w:p w14:paraId="5217DD98"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7.94</w:t>
            </w:r>
          </w:p>
          <w:p w14:paraId="789CF79E"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31,871,959</w:t>
            </w:r>
          </w:p>
          <w:p w14:paraId="38D45BB7"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19,562,007</w:t>
            </w:r>
          </w:p>
          <w:p w14:paraId="45CF43F0"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1,188</w:t>
            </w:r>
          </w:p>
          <w:p w14:paraId="3B6E1A77"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11.69</w:t>
            </w:r>
          </w:p>
          <w:p w14:paraId="09FA1DA0"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6,712</w:t>
            </w:r>
          </w:p>
        </w:tc>
      </w:tr>
    </w:tbl>
    <w:p w14:paraId="0B69C70A" w14:textId="77777777" w:rsidR="008810A2" w:rsidRDefault="00D921E0">
      <w:pPr>
        <w:keepLines/>
        <w:numPr>
          <w:ilvl w:val="0"/>
          <w:numId w:val="4"/>
        </w:numPr>
        <w:topLinePunct/>
        <w:snapToGrid w:val="0"/>
        <w:spacing w:before="320" w:after="200"/>
        <w:ind w:firstLineChars="0"/>
        <w:outlineLvl w:val="2"/>
        <w:rPr>
          <w:rFonts w:eastAsia="楷体_GB2312"/>
          <w:color w:val="000000" w:themeColor="text1"/>
          <w:sz w:val="30"/>
          <w:szCs w:val="30"/>
        </w:rPr>
      </w:pPr>
      <w:bookmarkStart w:id="163" w:name="_Toc142917088"/>
      <w:bookmarkStart w:id="164" w:name="_Toc175065690"/>
      <w:r>
        <w:rPr>
          <w:rFonts w:eastAsia="楷体_GB2312"/>
          <w:color w:val="000000" w:themeColor="text1"/>
          <w:sz w:val="30"/>
          <w:szCs w:val="30"/>
        </w:rPr>
        <w:t>IP</w:t>
      </w:r>
      <w:r>
        <w:rPr>
          <w:rFonts w:eastAsia="楷体_GB2312"/>
          <w:color w:val="000000" w:themeColor="text1"/>
          <w:sz w:val="30"/>
          <w:szCs w:val="30"/>
        </w:rPr>
        <w:t>地址</w:t>
      </w:r>
      <w:bookmarkEnd w:id="163"/>
      <w:bookmarkEnd w:id="164"/>
    </w:p>
    <w:p w14:paraId="7405879F"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w:t>
      </w:r>
      <w:r>
        <w:rPr>
          <w:color w:val="000000" w:themeColor="text1"/>
          <w:szCs w:val="21"/>
        </w:rPr>
        <w:t>IPv6</w:t>
      </w:r>
      <w:r>
        <w:rPr>
          <w:color w:val="000000" w:themeColor="text1"/>
          <w:szCs w:val="21"/>
        </w:rPr>
        <w:t>地址数量为</w:t>
      </w:r>
      <w:r>
        <w:rPr>
          <w:color w:val="000000" w:themeColor="text1"/>
          <w:szCs w:val="21"/>
        </w:rPr>
        <w:t>69080</w:t>
      </w:r>
      <w:r>
        <w:rPr>
          <w:color w:val="000000" w:themeColor="text1"/>
          <w:szCs w:val="21"/>
        </w:rPr>
        <w:t>块</w:t>
      </w:r>
      <w:r>
        <w:rPr>
          <w:color w:val="000000" w:themeColor="text1"/>
          <w:szCs w:val="21"/>
        </w:rPr>
        <w:t>/32</w:t>
      </w:r>
      <w:r>
        <w:rPr>
          <w:color w:val="000000" w:themeColor="text1"/>
          <w:szCs w:val="21"/>
        </w:rPr>
        <w:t>，较</w:t>
      </w:r>
      <w:r>
        <w:rPr>
          <w:color w:val="000000" w:themeColor="text1"/>
          <w:szCs w:val="21"/>
        </w:rPr>
        <w:t>2023</w:t>
      </w:r>
      <w:r>
        <w:rPr>
          <w:color w:val="000000" w:themeColor="text1"/>
          <w:szCs w:val="21"/>
        </w:rPr>
        <w:t>年</w:t>
      </w:r>
      <w:r>
        <w:rPr>
          <w:color w:val="000000" w:themeColor="text1"/>
          <w:szCs w:val="21"/>
        </w:rPr>
        <w:t>12</w:t>
      </w:r>
      <w:r>
        <w:rPr>
          <w:color w:val="000000" w:themeColor="text1"/>
          <w:szCs w:val="21"/>
        </w:rPr>
        <w:t>月增长</w:t>
      </w:r>
      <w:r>
        <w:rPr>
          <w:color w:val="000000" w:themeColor="text1"/>
          <w:szCs w:val="21"/>
        </w:rPr>
        <w:t>1.5%</w:t>
      </w:r>
      <w:r>
        <w:rPr>
          <w:color w:val="000000" w:themeColor="text1"/>
          <w:szCs w:val="21"/>
        </w:rPr>
        <w:t>。对全球</w:t>
      </w:r>
      <w:r>
        <w:rPr>
          <w:color w:val="000000" w:themeColor="text1"/>
          <w:szCs w:val="21"/>
        </w:rPr>
        <w:t>23</w:t>
      </w:r>
      <w:r>
        <w:rPr>
          <w:color w:val="000000" w:themeColor="text1"/>
          <w:szCs w:val="21"/>
        </w:rPr>
        <w:t>个重点公共递归服务的</w:t>
      </w:r>
      <w:r>
        <w:rPr>
          <w:color w:val="000000" w:themeColor="text1"/>
          <w:szCs w:val="21"/>
        </w:rPr>
        <w:t>IPv6</w:t>
      </w:r>
      <w:r>
        <w:rPr>
          <w:color w:val="000000" w:themeColor="text1"/>
          <w:szCs w:val="21"/>
        </w:rPr>
        <w:t>支持情况进行采集分析，有</w:t>
      </w:r>
      <w:r>
        <w:rPr>
          <w:color w:val="000000" w:themeColor="text1"/>
          <w:szCs w:val="21"/>
        </w:rPr>
        <w:t>14</w:t>
      </w:r>
      <w:r>
        <w:rPr>
          <w:color w:val="000000" w:themeColor="text1"/>
          <w:szCs w:val="21"/>
        </w:rPr>
        <w:t>个递归服务提供</w:t>
      </w:r>
      <w:r>
        <w:rPr>
          <w:color w:val="000000" w:themeColor="text1"/>
          <w:szCs w:val="21"/>
        </w:rPr>
        <w:t>IPv6</w:t>
      </w:r>
      <w:r>
        <w:rPr>
          <w:color w:val="000000" w:themeColor="text1"/>
          <w:szCs w:val="21"/>
        </w:rPr>
        <w:t>公共递归服务，约占</w:t>
      </w:r>
      <w:r>
        <w:rPr>
          <w:color w:val="000000" w:themeColor="text1"/>
          <w:szCs w:val="21"/>
        </w:rPr>
        <w:t>60.9%</w:t>
      </w:r>
      <w:r>
        <w:rPr>
          <w:color w:val="000000" w:themeColor="text1"/>
          <w:szCs w:val="21"/>
        </w:rPr>
        <w:t>。</w:t>
      </w:r>
    </w:p>
    <w:p w14:paraId="1330D96C" w14:textId="77777777" w:rsidR="008810A2" w:rsidRDefault="00D921E0">
      <w:pPr>
        <w:ind w:firstLineChars="0" w:firstLine="0"/>
        <w:jc w:val="center"/>
        <w:rPr>
          <w:color w:val="000000" w:themeColor="text1"/>
          <w:szCs w:val="21"/>
        </w:rPr>
      </w:pPr>
      <w:r>
        <w:rPr>
          <w:noProof/>
        </w:rPr>
        <w:drawing>
          <wp:inline distT="0" distB="0" distL="0" distR="0" wp14:anchorId="7F6D4563" wp14:editId="1E0BD2B7">
            <wp:extent cx="4902200" cy="2882900"/>
            <wp:effectExtent l="4445" t="4445" r="15875" b="8255"/>
            <wp:docPr id="1884936207" name="图表 1884936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11C50C" w14:textId="63FCB068"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1</w:t>
      </w:r>
      <w:r>
        <w:fldChar w:fldCharType="end"/>
      </w:r>
      <w:r>
        <w:t xml:space="preserve">  IPv6</w:t>
      </w:r>
      <w:r>
        <w:t>地址数量</w:t>
      </w:r>
      <w:r>
        <w:rPr>
          <w:rStyle w:val="affe"/>
        </w:rPr>
        <w:footnoteReference w:id="8"/>
      </w:r>
    </w:p>
    <w:p w14:paraId="48C13BC5" w14:textId="77777777" w:rsidR="008810A2" w:rsidRDefault="00D921E0">
      <w:pPr>
        <w:ind w:firstLine="420"/>
        <w:rPr>
          <w:color w:val="000000" w:themeColor="text1"/>
        </w:rPr>
      </w:pPr>
      <w:r>
        <w:rPr>
          <w:color w:val="000000" w:themeColor="text1"/>
        </w:rPr>
        <w:t>截至</w:t>
      </w:r>
      <w:r>
        <w:rPr>
          <w:color w:val="000000" w:themeColor="text1"/>
        </w:rPr>
        <w:t>2024</w:t>
      </w:r>
      <w:r>
        <w:rPr>
          <w:color w:val="000000" w:themeColor="text1"/>
        </w:rPr>
        <w:t>年</w:t>
      </w:r>
      <w:r>
        <w:rPr>
          <w:color w:val="000000" w:themeColor="text1"/>
        </w:rPr>
        <w:t>5</w:t>
      </w:r>
      <w:r>
        <w:rPr>
          <w:color w:val="000000" w:themeColor="text1"/>
        </w:rPr>
        <w:t>月，我国</w:t>
      </w:r>
      <w:r>
        <w:rPr>
          <w:color w:val="000000" w:themeColor="text1"/>
        </w:rPr>
        <w:t>IPv6</w:t>
      </w:r>
      <w:r>
        <w:rPr>
          <w:color w:val="000000" w:themeColor="text1"/>
        </w:rPr>
        <w:t>活跃用户数达</w:t>
      </w:r>
      <w:r>
        <w:rPr>
          <w:color w:val="000000" w:themeColor="text1"/>
        </w:rPr>
        <w:t>7.94</w:t>
      </w:r>
      <w:r>
        <w:rPr>
          <w:color w:val="000000" w:themeColor="text1"/>
        </w:rPr>
        <w:t>亿。</w:t>
      </w:r>
    </w:p>
    <w:p w14:paraId="381EC950" w14:textId="77777777" w:rsidR="008810A2" w:rsidRDefault="00D921E0" w:rsidP="002B0D05">
      <w:pPr>
        <w:pStyle w:val="a4"/>
        <w:rPr>
          <w:color w:val="auto"/>
        </w:rPr>
      </w:pPr>
      <w:r>
        <w:rPr>
          <w:noProof/>
        </w:rPr>
        <w:lastRenderedPageBreak/>
        <w:drawing>
          <wp:inline distT="0" distB="0" distL="0" distR="0" wp14:anchorId="469F71C0" wp14:editId="6DDBA039">
            <wp:extent cx="4902200" cy="2882900"/>
            <wp:effectExtent l="0" t="0" r="12700" b="12700"/>
            <wp:docPr id="112669986" name="图表 112669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1DC640" w14:textId="3B58E7DD"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2</w:t>
      </w:r>
      <w:r>
        <w:fldChar w:fldCharType="end"/>
      </w:r>
      <w:r>
        <w:t xml:space="preserve">  IPv6</w:t>
      </w:r>
      <w:r>
        <w:t>活跃用户数</w:t>
      </w:r>
    </w:p>
    <w:p w14:paraId="614B43F7" w14:textId="77777777" w:rsidR="008810A2" w:rsidRDefault="00D921E0">
      <w:pPr>
        <w:spacing w:beforeLines="50" w:before="156"/>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w:t>
      </w:r>
      <w:r>
        <w:rPr>
          <w:color w:val="000000" w:themeColor="text1"/>
          <w:szCs w:val="21"/>
        </w:rPr>
        <w:t>IPv4</w:t>
      </w:r>
      <w:r>
        <w:rPr>
          <w:color w:val="000000" w:themeColor="text1"/>
          <w:szCs w:val="21"/>
        </w:rPr>
        <w:t>地址数量为</w:t>
      </w:r>
      <w:r>
        <w:rPr>
          <w:color w:val="000000" w:themeColor="text1"/>
          <w:szCs w:val="21"/>
        </w:rPr>
        <w:t>39235</w:t>
      </w:r>
      <w:r>
        <w:rPr>
          <w:color w:val="000000" w:themeColor="text1"/>
          <w:szCs w:val="21"/>
        </w:rPr>
        <w:t>万个。</w:t>
      </w:r>
    </w:p>
    <w:p w14:paraId="1F7B35D8" w14:textId="77777777" w:rsidR="008810A2" w:rsidRDefault="00D921E0" w:rsidP="002B0D05">
      <w:pPr>
        <w:pStyle w:val="a4"/>
      </w:pPr>
      <w:r>
        <w:rPr>
          <w:noProof/>
        </w:rPr>
        <w:drawing>
          <wp:inline distT="0" distB="0" distL="0" distR="0" wp14:anchorId="1D9EA3DE" wp14:editId="6A014A8C">
            <wp:extent cx="4902200" cy="2882900"/>
            <wp:effectExtent l="4445" t="4445" r="15875" b="8255"/>
            <wp:docPr id="1542284901" name="图表 1542284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CD7483" w14:textId="45EE49F9"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3</w:t>
      </w:r>
      <w:r>
        <w:fldChar w:fldCharType="end"/>
      </w:r>
      <w:r>
        <w:t xml:space="preserve">  IPv4</w:t>
      </w:r>
      <w:r>
        <w:t>地址数量</w:t>
      </w:r>
      <w:r>
        <w:rPr>
          <w:rStyle w:val="affe"/>
        </w:rPr>
        <w:footnoteReference w:id="9"/>
      </w:r>
    </w:p>
    <w:p w14:paraId="68FBA5A5" w14:textId="77777777" w:rsidR="008810A2" w:rsidRDefault="00D921E0">
      <w:pPr>
        <w:keepLines/>
        <w:numPr>
          <w:ilvl w:val="0"/>
          <w:numId w:val="4"/>
        </w:numPr>
        <w:topLinePunct/>
        <w:snapToGrid w:val="0"/>
        <w:spacing w:before="320" w:after="200"/>
        <w:ind w:firstLineChars="0"/>
        <w:outlineLvl w:val="2"/>
        <w:rPr>
          <w:rFonts w:eastAsia="楷体_GB2312"/>
          <w:color w:val="000000" w:themeColor="text1"/>
          <w:sz w:val="30"/>
          <w:szCs w:val="30"/>
        </w:rPr>
      </w:pPr>
      <w:bookmarkStart w:id="165" w:name="_Toc142917089"/>
      <w:bookmarkStart w:id="166" w:name="_Toc175065691"/>
      <w:r>
        <w:rPr>
          <w:rFonts w:eastAsia="楷体_GB2312"/>
          <w:color w:val="000000" w:themeColor="text1"/>
          <w:sz w:val="30"/>
          <w:szCs w:val="30"/>
        </w:rPr>
        <w:t>域名</w:t>
      </w:r>
      <w:bookmarkEnd w:id="165"/>
      <w:bookmarkEnd w:id="166"/>
    </w:p>
    <w:p w14:paraId="190EA5E7"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月，我国域名总数为</w:t>
      </w:r>
      <w:r>
        <w:rPr>
          <w:color w:val="000000" w:themeColor="text1"/>
          <w:szCs w:val="21"/>
        </w:rPr>
        <w:t>3187</w:t>
      </w:r>
      <w:r>
        <w:rPr>
          <w:color w:val="000000" w:themeColor="text1"/>
          <w:szCs w:val="21"/>
        </w:rPr>
        <w:t>万个。其中，</w:t>
      </w:r>
      <w:r>
        <w:rPr>
          <w:rFonts w:ascii="宋体" w:hAnsi="宋体"/>
          <w:color w:val="000000" w:themeColor="text1"/>
          <w:szCs w:val="21"/>
        </w:rPr>
        <w:t>“</w:t>
      </w:r>
      <w:r>
        <w:rPr>
          <w:color w:val="000000" w:themeColor="text1"/>
          <w:szCs w:val="21"/>
        </w:rPr>
        <w:t>.CN</w:t>
      </w:r>
      <w:r>
        <w:rPr>
          <w:rFonts w:ascii="宋体" w:hAnsi="宋体"/>
          <w:color w:val="000000" w:themeColor="text1"/>
          <w:szCs w:val="21"/>
        </w:rPr>
        <w:t>”</w:t>
      </w:r>
      <w:r>
        <w:rPr>
          <w:color w:val="000000" w:themeColor="text1"/>
          <w:szCs w:val="21"/>
        </w:rPr>
        <w:t>域名数量为</w:t>
      </w:r>
      <w:r>
        <w:rPr>
          <w:color w:val="000000" w:themeColor="text1"/>
          <w:szCs w:val="21"/>
        </w:rPr>
        <w:t>1956</w:t>
      </w:r>
      <w:r>
        <w:rPr>
          <w:color w:val="000000" w:themeColor="text1"/>
          <w:szCs w:val="21"/>
        </w:rPr>
        <w:t>万个；</w:t>
      </w:r>
      <w:r>
        <w:rPr>
          <w:rFonts w:ascii="宋体" w:hAnsi="宋体"/>
          <w:color w:val="000000" w:themeColor="text1"/>
          <w:szCs w:val="21"/>
        </w:rPr>
        <w:lastRenderedPageBreak/>
        <w:t>“</w:t>
      </w:r>
      <w:r>
        <w:rPr>
          <w:color w:val="000000" w:themeColor="text1"/>
          <w:szCs w:val="21"/>
        </w:rPr>
        <w:t>.COM</w:t>
      </w:r>
      <w:r>
        <w:rPr>
          <w:rFonts w:ascii="宋体" w:hAnsi="宋体"/>
          <w:color w:val="000000" w:themeColor="text1"/>
          <w:szCs w:val="21"/>
        </w:rPr>
        <w:t>”</w:t>
      </w:r>
      <w:r>
        <w:rPr>
          <w:color w:val="000000" w:themeColor="text1"/>
          <w:szCs w:val="21"/>
        </w:rPr>
        <w:t>域名数量为</w:t>
      </w:r>
      <w:r>
        <w:rPr>
          <w:color w:val="000000" w:themeColor="text1"/>
          <w:szCs w:val="21"/>
        </w:rPr>
        <w:t>744</w:t>
      </w:r>
      <w:r>
        <w:rPr>
          <w:color w:val="000000" w:themeColor="text1"/>
          <w:szCs w:val="21"/>
        </w:rPr>
        <w:t>万个；</w:t>
      </w:r>
      <w:r>
        <w:rPr>
          <w:rFonts w:ascii="宋体" w:hAnsi="宋体"/>
          <w:color w:val="000000" w:themeColor="text1"/>
          <w:szCs w:val="21"/>
        </w:rPr>
        <w:t>“</w:t>
      </w:r>
      <w:r>
        <w:rPr>
          <w:color w:val="000000" w:themeColor="text1"/>
          <w:szCs w:val="21"/>
        </w:rPr>
        <w:t>.</w:t>
      </w:r>
      <w:r>
        <w:rPr>
          <w:color w:val="000000" w:themeColor="text1"/>
          <w:szCs w:val="21"/>
        </w:rPr>
        <w:t>中国</w:t>
      </w:r>
      <w:r>
        <w:rPr>
          <w:rFonts w:ascii="宋体" w:hAnsi="宋体"/>
          <w:color w:val="000000" w:themeColor="text1"/>
          <w:szCs w:val="21"/>
        </w:rPr>
        <w:t>”</w:t>
      </w:r>
      <w:r>
        <w:rPr>
          <w:color w:val="000000" w:themeColor="text1"/>
          <w:szCs w:val="21"/>
        </w:rPr>
        <w:t>域名数量为</w:t>
      </w:r>
      <w:r>
        <w:rPr>
          <w:color w:val="000000" w:themeColor="text1"/>
          <w:szCs w:val="21"/>
        </w:rPr>
        <w:t>17</w:t>
      </w:r>
      <w:r>
        <w:rPr>
          <w:color w:val="000000" w:themeColor="text1"/>
          <w:szCs w:val="21"/>
        </w:rPr>
        <w:t>万个；新通用顶级域名（</w:t>
      </w:r>
      <w:r>
        <w:rPr>
          <w:color w:val="000000" w:themeColor="text1"/>
          <w:szCs w:val="21"/>
        </w:rPr>
        <w:t>New gTLD</w:t>
      </w:r>
      <w:r>
        <w:rPr>
          <w:color w:val="000000" w:themeColor="text1"/>
          <w:szCs w:val="21"/>
        </w:rPr>
        <w:t>）数量为</w:t>
      </w:r>
      <w:r>
        <w:rPr>
          <w:color w:val="000000" w:themeColor="text1"/>
          <w:szCs w:val="21"/>
        </w:rPr>
        <w:t>256</w:t>
      </w:r>
      <w:r>
        <w:rPr>
          <w:color w:val="000000" w:themeColor="text1"/>
          <w:szCs w:val="21"/>
        </w:rPr>
        <w:t>万个。</w:t>
      </w:r>
    </w:p>
    <w:p w14:paraId="61FF452A" w14:textId="030DE7A5" w:rsidR="008810A2" w:rsidRDefault="00D921E0" w:rsidP="002B0D05">
      <w:pPr>
        <w:pStyle w:val="a4"/>
      </w:pPr>
      <w:r>
        <w:t>表</w:t>
      </w:r>
      <w:r>
        <w:t xml:space="preserve"> </w:t>
      </w:r>
      <w:r>
        <w:fldChar w:fldCharType="begin"/>
      </w:r>
      <w:r>
        <w:instrText xml:space="preserve"> SEQ </w:instrText>
      </w:r>
      <w:r>
        <w:instrText>表</w:instrText>
      </w:r>
      <w:r>
        <w:instrText xml:space="preserve"> \* ARABIC </w:instrText>
      </w:r>
      <w:r>
        <w:fldChar w:fldCharType="separate"/>
      </w:r>
      <w:r w:rsidR="00A057C8">
        <w:rPr>
          <w:noProof/>
        </w:rPr>
        <w:t>2</w:t>
      </w:r>
      <w:r>
        <w:fldChar w:fldCharType="end"/>
      </w:r>
      <w:r>
        <w:t xml:space="preserve">  </w:t>
      </w:r>
      <w:r>
        <w:t>分类域名数</w:t>
      </w:r>
    </w:p>
    <w:tbl>
      <w:tblPr>
        <w:tblStyle w:val="1414"/>
        <w:tblW w:w="3400" w:type="pct"/>
        <w:jc w:val="center"/>
        <w:tblLook w:val="04A0" w:firstRow="1" w:lastRow="0" w:firstColumn="1" w:lastColumn="0" w:noHBand="0" w:noVBand="1"/>
      </w:tblPr>
      <w:tblGrid>
        <w:gridCol w:w="2706"/>
        <w:gridCol w:w="2915"/>
      </w:tblGrid>
      <w:tr w:rsidR="008810A2" w14:paraId="1B4F0714" w14:textId="77777777">
        <w:trPr>
          <w:trHeight w:val="300"/>
          <w:jc w:val="center"/>
        </w:trPr>
        <w:tc>
          <w:tcPr>
            <w:tcW w:w="2407" w:type="pct"/>
            <w:tcBorders>
              <w:top w:val="single" w:sz="4" w:space="0" w:color="auto"/>
              <w:left w:val="nil"/>
              <w:bottom w:val="single" w:sz="4" w:space="0" w:color="auto"/>
              <w:right w:val="single" w:sz="4" w:space="0" w:color="auto"/>
            </w:tcBorders>
            <w:noWrap/>
          </w:tcPr>
          <w:p w14:paraId="190D4995" w14:textId="77777777" w:rsidR="008810A2" w:rsidRDefault="00D921E0">
            <w:pPr>
              <w:spacing w:line="240" w:lineRule="auto"/>
              <w:ind w:firstLineChars="0" w:firstLine="0"/>
              <w:jc w:val="center"/>
              <w:rPr>
                <w:color w:val="000000" w:themeColor="text1"/>
                <w:kern w:val="0"/>
                <w:sz w:val="20"/>
                <w:szCs w:val="20"/>
              </w:rPr>
            </w:pPr>
            <w:r>
              <w:rPr>
                <w:color w:val="000000" w:themeColor="text1"/>
                <w:kern w:val="0"/>
                <w:sz w:val="20"/>
                <w:szCs w:val="20"/>
              </w:rPr>
              <w:t>分类</w:t>
            </w:r>
          </w:p>
        </w:tc>
        <w:tc>
          <w:tcPr>
            <w:tcW w:w="2593" w:type="pct"/>
            <w:tcBorders>
              <w:top w:val="single" w:sz="4" w:space="0" w:color="auto"/>
              <w:left w:val="single" w:sz="4" w:space="0" w:color="auto"/>
              <w:bottom w:val="single" w:sz="4" w:space="0" w:color="auto"/>
              <w:right w:val="nil"/>
            </w:tcBorders>
            <w:noWrap/>
          </w:tcPr>
          <w:p w14:paraId="2DCC8D21" w14:textId="77777777" w:rsidR="008810A2" w:rsidRDefault="00D921E0">
            <w:pPr>
              <w:spacing w:line="240" w:lineRule="auto"/>
              <w:ind w:firstLineChars="0" w:firstLine="0"/>
              <w:jc w:val="center"/>
              <w:rPr>
                <w:color w:val="000000" w:themeColor="text1"/>
                <w:kern w:val="0"/>
                <w:sz w:val="20"/>
                <w:szCs w:val="20"/>
              </w:rPr>
            </w:pPr>
            <w:r>
              <w:rPr>
                <w:color w:val="000000" w:themeColor="text1"/>
                <w:kern w:val="0"/>
                <w:sz w:val="20"/>
                <w:szCs w:val="20"/>
              </w:rPr>
              <w:t>数量（</w:t>
            </w:r>
            <w:proofErr w:type="gramStart"/>
            <w:r>
              <w:rPr>
                <w:color w:val="000000" w:themeColor="text1"/>
                <w:kern w:val="0"/>
                <w:sz w:val="20"/>
                <w:szCs w:val="20"/>
              </w:rPr>
              <w:t>个</w:t>
            </w:r>
            <w:proofErr w:type="gramEnd"/>
            <w:r>
              <w:rPr>
                <w:color w:val="000000" w:themeColor="text1"/>
                <w:kern w:val="0"/>
                <w:sz w:val="20"/>
                <w:szCs w:val="20"/>
              </w:rPr>
              <w:t>）</w:t>
            </w:r>
          </w:p>
        </w:tc>
      </w:tr>
      <w:tr w:rsidR="008810A2" w:rsidRPr="0071578F" w14:paraId="682B59D2" w14:textId="77777777">
        <w:trPr>
          <w:trHeight w:val="300"/>
          <w:jc w:val="center"/>
        </w:trPr>
        <w:tc>
          <w:tcPr>
            <w:tcW w:w="2407" w:type="pct"/>
            <w:tcBorders>
              <w:top w:val="single" w:sz="4" w:space="0" w:color="auto"/>
              <w:left w:val="nil"/>
              <w:bottom w:val="nil"/>
              <w:right w:val="single" w:sz="4" w:space="0" w:color="auto"/>
            </w:tcBorders>
            <w:noWrap/>
            <w:vAlign w:val="center"/>
          </w:tcPr>
          <w:p w14:paraId="41CF46CF" w14:textId="77777777" w:rsidR="008810A2" w:rsidRPr="0071578F" w:rsidRDefault="00D921E0">
            <w:pPr>
              <w:spacing w:line="240" w:lineRule="auto"/>
              <w:ind w:firstLineChars="0" w:firstLine="0"/>
              <w:jc w:val="center"/>
              <w:rPr>
                <w:rFonts w:ascii="Times New Roman" w:eastAsiaTheme="majorEastAsia" w:hAnsi="Times New Roman"/>
                <w:color w:val="000000" w:themeColor="text1"/>
                <w:kern w:val="0"/>
                <w:sz w:val="20"/>
                <w:szCs w:val="20"/>
              </w:rPr>
            </w:pPr>
            <w:r w:rsidRPr="0071578F">
              <w:rPr>
                <w:rFonts w:ascii="Times New Roman" w:eastAsiaTheme="majorEastAsia" w:hAnsi="Times New Roman"/>
                <w:color w:val="000000" w:themeColor="text1"/>
                <w:kern w:val="0"/>
                <w:sz w:val="20"/>
                <w:szCs w:val="20"/>
              </w:rPr>
              <w:t>.CN</w:t>
            </w:r>
          </w:p>
        </w:tc>
        <w:tc>
          <w:tcPr>
            <w:tcW w:w="2593" w:type="pct"/>
            <w:tcBorders>
              <w:top w:val="single" w:sz="4" w:space="0" w:color="auto"/>
              <w:left w:val="single" w:sz="4" w:space="0" w:color="auto"/>
              <w:bottom w:val="nil"/>
              <w:right w:val="nil"/>
            </w:tcBorders>
            <w:noWrap/>
            <w:vAlign w:val="center"/>
          </w:tcPr>
          <w:p w14:paraId="47DC440C"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19,562,007</w:t>
            </w:r>
          </w:p>
        </w:tc>
      </w:tr>
      <w:tr w:rsidR="008810A2" w:rsidRPr="0071578F" w14:paraId="69094595" w14:textId="77777777">
        <w:trPr>
          <w:trHeight w:val="300"/>
          <w:jc w:val="center"/>
        </w:trPr>
        <w:tc>
          <w:tcPr>
            <w:tcW w:w="2407" w:type="pct"/>
            <w:tcBorders>
              <w:top w:val="nil"/>
              <w:left w:val="nil"/>
              <w:bottom w:val="nil"/>
              <w:right w:val="single" w:sz="4" w:space="0" w:color="auto"/>
            </w:tcBorders>
            <w:noWrap/>
            <w:vAlign w:val="center"/>
          </w:tcPr>
          <w:p w14:paraId="6221C8D8" w14:textId="77777777" w:rsidR="008810A2" w:rsidRPr="0071578F" w:rsidRDefault="00D921E0">
            <w:pPr>
              <w:spacing w:line="240" w:lineRule="auto"/>
              <w:ind w:firstLineChars="0" w:firstLine="0"/>
              <w:jc w:val="center"/>
              <w:rPr>
                <w:rFonts w:ascii="Times New Roman" w:eastAsiaTheme="majorEastAsia" w:hAnsi="Times New Roman"/>
                <w:color w:val="000000" w:themeColor="text1"/>
                <w:kern w:val="0"/>
                <w:sz w:val="20"/>
                <w:szCs w:val="20"/>
              </w:rPr>
            </w:pPr>
            <w:r w:rsidRPr="0071578F">
              <w:rPr>
                <w:rFonts w:ascii="Times New Roman" w:eastAsiaTheme="majorEastAsia" w:hAnsi="Times New Roman"/>
                <w:color w:val="000000" w:themeColor="text1"/>
                <w:kern w:val="0"/>
                <w:sz w:val="20"/>
                <w:szCs w:val="20"/>
              </w:rPr>
              <w:t>.COM</w:t>
            </w:r>
          </w:p>
        </w:tc>
        <w:tc>
          <w:tcPr>
            <w:tcW w:w="2593" w:type="pct"/>
            <w:tcBorders>
              <w:top w:val="nil"/>
              <w:left w:val="single" w:sz="4" w:space="0" w:color="auto"/>
              <w:bottom w:val="nil"/>
              <w:right w:val="nil"/>
            </w:tcBorders>
            <w:noWrap/>
            <w:vAlign w:val="center"/>
          </w:tcPr>
          <w:p w14:paraId="4522F477"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7,443,375</w:t>
            </w:r>
          </w:p>
        </w:tc>
      </w:tr>
      <w:tr w:rsidR="008810A2" w:rsidRPr="0071578F" w14:paraId="2A6F8675" w14:textId="77777777">
        <w:trPr>
          <w:trHeight w:val="300"/>
          <w:jc w:val="center"/>
        </w:trPr>
        <w:tc>
          <w:tcPr>
            <w:tcW w:w="2407" w:type="pct"/>
            <w:tcBorders>
              <w:top w:val="nil"/>
              <w:left w:val="nil"/>
              <w:bottom w:val="nil"/>
              <w:right w:val="single" w:sz="4" w:space="0" w:color="auto"/>
            </w:tcBorders>
            <w:noWrap/>
            <w:vAlign w:val="center"/>
          </w:tcPr>
          <w:p w14:paraId="23BF427E" w14:textId="77777777" w:rsidR="008810A2" w:rsidRPr="0071578F" w:rsidRDefault="00D921E0">
            <w:pPr>
              <w:spacing w:line="240" w:lineRule="auto"/>
              <w:ind w:firstLineChars="0" w:firstLine="0"/>
              <w:jc w:val="center"/>
              <w:rPr>
                <w:rFonts w:ascii="Times New Roman" w:eastAsiaTheme="majorEastAsia" w:hAnsi="Times New Roman"/>
                <w:color w:val="000000" w:themeColor="text1"/>
                <w:kern w:val="0"/>
                <w:sz w:val="20"/>
                <w:szCs w:val="20"/>
              </w:rPr>
            </w:pPr>
            <w:r w:rsidRPr="0071578F">
              <w:rPr>
                <w:rFonts w:ascii="Times New Roman" w:eastAsiaTheme="majorEastAsia" w:hAnsi="Times New Roman"/>
                <w:color w:val="000000" w:themeColor="text1"/>
                <w:kern w:val="0"/>
                <w:sz w:val="20"/>
                <w:szCs w:val="20"/>
              </w:rPr>
              <w:t>.NET</w:t>
            </w:r>
          </w:p>
        </w:tc>
        <w:tc>
          <w:tcPr>
            <w:tcW w:w="2593" w:type="pct"/>
            <w:tcBorders>
              <w:top w:val="nil"/>
              <w:left w:val="single" w:sz="4" w:space="0" w:color="auto"/>
              <w:bottom w:val="nil"/>
              <w:right w:val="nil"/>
            </w:tcBorders>
            <w:noWrap/>
            <w:vAlign w:val="center"/>
          </w:tcPr>
          <w:p w14:paraId="7B669BAF"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608,325</w:t>
            </w:r>
          </w:p>
        </w:tc>
      </w:tr>
      <w:tr w:rsidR="008810A2" w:rsidRPr="0071578F" w14:paraId="76FDA933" w14:textId="77777777">
        <w:trPr>
          <w:trHeight w:val="300"/>
          <w:jc w:val="center"/>
        </w:trPr>
        <w:tc>
          <w:tcPr>
            <w:tcW w:w="2407" w:type="pct"/>
            <w:tcBorders>
              <w:top w:val="nil"/>
              <w:left w:val="nil"/>
              <w:bottom w:val="nil"/>
              <w:right w:val="single" w:sz="4" w:space="0" w:color="auto"/>
            </w:tcBorders>
            <w:noWrap/>
            <w:vAlign w:val="center"/>
          </w:tcPr>
          <w:p w14:paraId="1385EFFA"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w:t>
            </w:r>
            <w:r w:rsidRPr="0071578F">
              <w:rPr>
                <w:rFonts w:ascii="Times New Roman" w:hAnsi="Times New Roman"/>
                <w:color w:val="000000" w:themeColor="text1"/>
                <w:kern w:val="0"/>
                <w:sz w:val="20"/>
                <w:szCs w:val="20"/>
              </w:rPr>
              <w:t>中国</w:t>
            </w:r>
          </w:p>
        </w:tc>
        <w:tc>
          <w:tcPr>
            <w:tcW w:w="2593" w:type="pct"/>
            <w:tcBorders>
              <w:top w:val="nil"/>
              <w:left w:val="single" w:sz="4" w:space="0" w:color="auto"/>
              <w:bottom w:val="nil"/>
              <w:right w:val="nil"/>
            </w:tcBorders>
            <w:noWrap/>
            <w:vAlign w:val="center"/>
          </w:tcPr>
          <w:p w14:paraId="14540983"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171,090</w:t>
            </w:r>
          </w:p>
        </w:tc>
      </w:tr>
      <w:tr w:rsidR="008810A2" w:rsidRPr="0071578F" w14:paraId="2BB8CEF8" w14:textId="77777777">
        <w:trPr>
          <w:trHeight w:val="300"/>
          <w:jc w:val="center"/>
        </w:trPr>
        <w:tc>
          <w:tcPr>
            <w:tcW w:w="2407" w:type="pct"/>
            <w:tcBorders>
              <w:top w:val="nil"/>
              <w:left w:val="nil"/>
              <w:bottom w:val="nil"/>
              <w:right w:val="single" w:sz="4" w:space="0" w:color="auto"/>
            </w:tcBorders>
            <w:noWrap/>
            <w:vAlign w:val="center"/>
          </w:tcPr>
          <w:p w14:paraId="7C50F5B8"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.INFO</w:t>
            </w:r>
          </w:p>
        </w:tc>
        <w:tc>
          <w:tcPr>
            <w:tcW w:w="2593" w:type="pct"/>
            <w:tcBorders>
              <w:top w:val="nil"/>
              <w:left w:val="single" w:sz="4" w:space="0" w:color="auto"/>
              <w:bottom w:val="nil"/>
              <w:right w:val="nil"/>
            </w:tcBorders>
            <w:noWrap/>
            <w:vAlign w:val="center"/>
          </w:tcPr>
          <w:p w14:paraId="48EF9F23"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72,765</w:t>
            </w:r>
          </w:p>
        </w:tc>
      </w:tr>
      <w:tr w:rsidR="008810A2" w:rsidRPr="0071578F" w14:paraId="1045D363" w14:textId="77777777">
        <w:trPr>
          <w:trHeight w:val="300"/>
          <w:jc w:val="center"/>
        </w:trPr>
        <w:tc>
          <w:tcPr>
            <w:tcW w:w="2407" w:type="pct"/>
            <w:tcBorders>
              <w:top w:val="nil"/>
              <w:left w:val="nil"/>
              <w:bottom w:val="nil"/>
              <w:right w:val="single" w:sz="4" w:space="0" w:color="auto"/>
            </w:tcBorders>
            <w:noWrap/>
            <w:vAlign w:val="center"/>
          </w:tcPr>
          <w:p w14:paraId="6BE8BDFB"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.ORG</w:t>
            </w:r>
          </w:p>
        </w:tc>
        <w:tc>
          <w:tcPr>
            <w:tcW w:w="2593" w:type="pct"/>
            <w:tcBorders>
              <w:top w:val="nil"/>
              <w:left w:val="single" w:sz="4" w:space="0" w:color="auto"/>
              <w:bottom w:val="nil"/>
              <w:right w:val="nil"/>
            </w:tcBorders>
            <w:noWrap/>
            <w:vAlign w:val="center"/>
          </w:tcPr>
          <w:p w14:paraId="5ACD47BC"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26,041</w:t>
            </w:r>
          </w:p>
        </w:tc>
      </w:tr>
      <w:tr w:rsidR="008810A2" w:rsidRPr="0071578F" w14:paraId="19B80F5F" w14:textId="77777777">
        <w:trPr>
          <w:trHeight w:val="300"/>
          <w:jc w:val="center"/>
        </w:trPr>
        <w:tc>
          <w:tcPr>
            <w:tcW w:w="2407" w:type="pct"/>
            <w:tcBorders>
              <w:top w:val="nil"/>
              <w:left w:val="nil"/>
              <w:bottom w:val="nil"/>
              <w:right w:val="single" w:sz="4" w:space="0" w:color="auto"/>
            </w:tcBorders>
            <w:noWrap/>
            <w:vAlign w:val="center"/>
          </w:tcPr>
          <w:p w14:paraId="61CB3981"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New gTLD</w:t>
            </w:r>
          </w:p>
        </w:tc>
        <w:tc>
          <w:tcPr>
            <w:tcW w:w="2593" w:type="pct"/>
            <w:tcBorders>
              <w:top w:val="nil"/>
              <w:left w:val="single" w:sz="4" w:space="0" w:color="auto"/>
              <w:bottom w:val="nil"/>
              <w:right w:val="nil"/>
            </w:tcBorders>
            <w:noWrap/>
            <w:vAlign w:val="center"/>
          </w:tcPr>
          <w:p w14:paraId="4C6A0113"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2,557,935</w:t>
            </w:r>
          </w:p>
        </w:tc>
      </w:tr>
      <w:tr w:rsidR="008810A2" w:rsidRPr="0071578F" w14:paraId="742E694B" w14:textId="77777777">
        <w:trPr>
          <w:trHeight w:val="300"/>
          <w:jc w:val="center"/>
        </w:trPr>
        <w:tc>
          <w:tcPr>
            <w:tcW w:w="2407" w:type="pct"/>
            <w:tcBorders>
              <w:top w:val="nil"/>
              <w:left w:val="nil"/>
              <w:bottom w:val="nil"/>
              <w:right w:val="single" w:sz="4" w:space="0" w:color="auto"/>
            </w:tcBorders>
            <w:noWrap/>
            <w:vAlign w:val="center"/>
          </w:tcPr>
          <w:p w14:paraId="45325E58"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其他</w:t>
            </w:r>
            <w:r w:rsidRPr="0071578F">
              <w:rPr>
                <w:rStyle w:val="affe"/>
                <w:rFonts w:ascii="Times New Roman" w:hAnsi="Times New Roman"/>
                <w:color w:val="000000" w:themeColor="text1"/>
                <w:kern w:val="0"/>
                <w:sz w:val="20"/>
                <w:szCs w:val="20"/>
              </w:rPr>
              <w:footnoteReference w:id="10"/>
            </w:r>
          </w:p>
        </w:tc>
        <w:tc>
          <w:tcPr>
            <w:tcW w:w="2593" w:type="pct"/>
            <w:tcBorders>
              <w:top w:val="nil"/>
              <w:left w:val="single" w:sz="4" w:space="0" w:color="auto"/>
              <w:bottom w:val="nil"/>
              <w:right w:val="nil"/>
            </w:tcBorders>
            <w:noWrap/>
            <w:vAlign w:val="center"/>
          </w:tcPr>
          <w:p w14:paraId="385A1D9A"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1,430,421</w:t>
            </w:r>
          </w:p>
        </w:tc>
      </w:tr>
      <w:tr w:rsidR="008810A2" w:rsidRPr="0071578F" w14:paraId="69EAF0C4" w14:textId="77777777">
        <w:trPr>
          <w:trHeight w:val="300"/>
          <w:jc w:val="center"/>
        </w:trPr>
        <w:tc>
          <w:tcPr>
            <w:tcW w:w="2407" w:type="pct"/>
            <w:tcBorders>
              <w:top w:val="nil"/>
              <w:left w:val="nil"/>
              <w:bottom w:val="single" w:sz="4" w:space="0" w:color="auto"/>
              <w:right w:val="single" w:sz="4" w:space="0" w:color="auto"/>
            </w:tcBorders>
            <w:noWrap/>
            <w:vAlign w:val="center"/>
          </w:tcPr>
          <w:p w14:paraId="338A65F9"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合计</w:t>
            </w:r>
            <w:r w:rsidRPr="0071578F">
              <w:rPr>
                <w:rFonts w:ascii="Times New Roman" w:hAnsi="Times New Roman"/>
                <w:color w:val="000000" w:themeColor="text1"/>
                <w:kern w:val="0"/>
                <w:sz w:val="20"/>
                <w:szCs w:val="20"/>
              </w:rPr>
              <w:tab/>
            </w:r>
          </w:p>
        </w:tc>
        <w:tc>
          <w:tcPr>
            <w:tcW w:w="2593" w:type="pct"/>
            <w:tcBorders>
              <w:top w:val="nil"/>
              <w:left w:val="single" w:sz="4" w:space="0" w:color="auto"/>
              <w:bottom w:val="single" w:sz="4" w:space="0" w:color="auto"/>
              <w:right w:val="nil"/>
            </w:tcBorders>
            <w:noWrap/>
            <w:vAlign w:val="center"/>
          </w:tcPr>
          <w:p w14:paraId="5F76C185"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color w:val="000000" w:themeColor="text1"/>
                <w:kern w:val="0"/>
                <w:sz w:val="20"/>
                <w:szCs w:val="20"/>
              </w:rPr>
              <w:t>31,871,959</w:t>
            </w:r>
          </w:p>
        </w:tc>
      </w:tr>
    </w:tbl>
    <w:p w14:paraId="75238D28" w14:textId="6535673D" w:rsidR="008810A2" w:rsidRDefault="00D921E0" w:rsidP="002B0D05">
      <w:pPr>
        <w:pStyle w:val="a4"/>
      </w:pPr>
      <w:r>
        <w:t>表</w:t>
      </w:r>
      <w:r>
        <w:t xml:space="preserve"> </w:t>
      </w:r>
      <w:r>
        <w:fldChar w:fldCharType="begin"/>
      </w:r>
      <w:r>
        <w:instrText xml:space="preserve"> SEQ </w:instrText>
      </w:r>
      <w:r>
        <w:instrText>表</w:instrText>
      </w:r>
      <w:r>
        <w:instrText xml:space="preserve"> \* ARABIC </w:instrText>
      </w:r>
      <w:r>
        <w:fldChar w:fldCharType="separate"/>
      </w:r>
      <w:r w:rsidR="00A057C8">
        <w:rPr>
          <w:noProof/>
        </w:rPr>
        <w:t>3</w:t>
      </w:r>
      <w:r>
        <w:fldChar w:fldCharType="end"/>
      </w:r>
      <w:r>
        <w:t xml:space="preserve">  </w:t>
      </w:r>
      <w:r>
        <w:t>分类</w:t>
      </w:r>
      <w:r>
        <w:rPr>
          <w:rFonts w:ascii="宋体" w:eastAsia="宋体" w:hAnsi="宋体"/>
        </w:rPr>
        <w:t>“</w:t>
      </w:r>
      <w:r>
        <w:t>.CN</w:t>
      </w:r>
      <w:r>
        <w:rPr>
          <w:rFonts w:ascii="宋体" w:eastAsia="宋体" w:hAnsi="宋体"/>
        </w:rPr>
        <w:t>”</w:t>
      </w:r>
      <w:r>
        <w:t>域名数</w:t>
      </w:r>
    </w:p>
    <w:tbl>
      <w:tblPr>
        <w:tblStyle w:val="1a"/>
        <w:tblW w:w="3401" w:type="pct"/>
        <w:jc w:val="center"/>
        <w:tblBorders>
          <w:top w:val="double" w:sz="4" w:space="0" w:color="auto"/>
          <w:left w:val="none" w:sz="0" w:space="0" w:color="auto"/>
          <w:right w:val="none" w:sz="0" w:space="0" w:color="auto"/>
        </w:tblBorders>
        <w:tblLook w:val="04A0" w:firstRow="1" w:lastRow="0" w:firstColumn="1" w:lastColumn="0" w:noHBand="0" w:noVBand="1"/>
      </w:tblPr>
      <w:tblGrid>
        <w:gridCol w:w="2811"/>
        <w:gridCol w:w="2812"/>
      </w:tblGrid>
      <w:tr w:rsidR="008810A2" w14:paraId="17AEE2A0" w14:textId="77777777">
        <w:trPr>
          <w:trHeight w:val="333"/>
          <w:tblHeader/>
          <w:jc w:val="center"/>
        </w:trPr>
        <w:tc>
          <w:tcPr>
            <w:tcW w:w="2500" w:type="pct"/>
            <w:tcBorders>
              <w:top w:val="single" w:sz="4" w:space="0" w:color="auto"/>
              <w:left w:val="nil"/>
              <w:bottom w:val="single" w:sz="4" w:space="0" w:color="auto"/>
              <w:right w:val="single" w:sz="4" w:space="0" w:color="auto"/>
            </w:tcBorders>
            <w:noWrap/>
          </w:tcPr>
          <w:p w14:paraId="6FEB1E55" w14:textId="77777777" w:rsidR="008810A2" w:rsidRDefault="00D921E0">
            <w:pPr>
              <w:spacing w:line="240" w:lineRule="auto"/>
              <w:ind w:firstLineChars="0" w:firstLine="0"/>
              <w:jc w:val="center"/>
              <w:rPr>
                <w:color w:val="000000" w:themeColor="text1"/>
                <w:kern w:val="0"/>
                <w:sz w:val="20"/>
                <w:szCs w:val="20"/>
              </w:rPr>
            </w:pPr>
            <w:r>
              <w:rPr>
                <w:color w:val="000000" w:themeColor="text1"/>
                <w:kern w:val="0"/>
                <w:sz w:val="20"/>
                <w:szCs w:val="20"/>
              </w:rPr>
              <w:t>分类</w:t>
            </w:r>
          </w:p>
        </w:tc>
        <w:tc>
          <w:tcPr>
            <w:tcW w:w="2500" w:type="pct"/>
            <w:tcBorders>
              <w:top w:val="single" w:sz="4" w:space="0" w:color="auto"/>
              <w:left w:val="single" w:sz="4" w:space="0" w:color="auto"/>
              <w:bottom w:val="single" w:sz="4" w:space="0" w:color="auto"/>
              <w:right w:val="nil"/>
            </w:tcBorders>
            <w:noWrap/>
          </w:tcPr>
          <w:p w14:paraId="29F784D0" w14:textId="77777777" w:rsidR="008810A2" w:rsidRDefault="00D921E0">
            <w:pPr>
              <w:spacing w:line="240" w:lineRule="auto"/>
              <w:ind w:firstLineChars="0" w:firstLine="0"/>
              <w:jc w:val="center"/>
              <w:rPr>
                <w:color w:val="000000" w:themeColor="text1"/>
                <w:kern w:val="0"/>
                <w:sz w:val="20"/>
                <w:szCs w:val="20"/>
              </w:rPr>
            </w:pPr>
            <w:r>
              <w:rPr>
                <w:color w:val="000000" w:themeColor="text1"/>
                <w:kern w:val="0"/>
                <w:sz w:val="20"/>
                <w:szCs w:val="20"/>
              </w:rPr>
              <w:t>数量（</w:t>
            </w:r>
            <w:proofErr w:type="gramStart"/>
            <w:r>
              <w:rPr>
                <w:color w:val="000000" w:themeColor="text1"/>
                <w:kern w:val="0"/>
                <w:sz w:val="20"/>
                <w:szCs w:val="20"/>
              </w:rPr>
              <w:t>个</w:t>
            </w:r>
            <w:proofErr w:type="gramEnd"/>
            <w:r>
              <w:rPr>
                <w:color w:val="000000" w:themeColor="text1"/>
                <w:kern w:val="0"/>
                <w:sz w:val="20"/>
                <w:szCs w:val="20"/>
              </w:rPr>
              <w:t>）</w:t>
            </w:r>
          </w:p>
        </w:tc>
      </w:tr>
      <w:tr w:rsidR="008810A2" w:rsidRPr="0071578F" w14:paraId="78B654F8" w14:textId="77777777">
        <w:trPr>
          <w:trHeight w:val="333"/>
          <w:jc w:val="center"/>
        </w:trPr>
        <w:tc>
          <w:tcPr>
            <w:tcW w:w="2500" w:type="pct"/>
            <w:tcBorders>
              <w:top w:val="single" w:sz="4" w:space="0" w:color="auto"/>
              <w:left w:val="nil"/>
              <w:bottom w:val="nil"/>
              <w:right w:val="single" w:sz="4" w:space="0" w:color="auto"/>
            </w:tcBorders>
            <w:noWrap/>
          </w:tcPr>
          <w:p w14:paraId="2B38DD68"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.cn</w:t>
            </w:r>
            <w:r w:rsidRPr="0071578F">
              <w:rPr>
                <w:rStyle w:val="affe"/>
                <w:rFonts w:ascii="Times New Roman" w:hAnsi="Times New Roman"/>
                <w:caps/>
                <w:color w:val="000000" w:themeColor="text1"/>
                <w:kern w:val="0"/>
                <w:sz w:val="20"/>
                <w:szCs w:val="20"/>
              </w:rPr>
              <w:footnoteReference w:id="11"/>
            </w:r>
          </w:p>
        </w:tc>
        <w:tc>
          <w:tcPr>
            <w:tcW w:w="2500" w:type="pct"/>
            <w:tcBorders>
              <w:top w:val="single" w:sz="4" w:space="0" w:color="auto"/>
              <w:left w:val="single" w:sz="4" w:space="0" w:color="auto"/>
              <w:bottom w:val="nil"/>
              <w:right w:val="nil"/>
            </w:tcBorders>
            <w:noWrap/>
          </w:tcPr>
          <w:p w14:paraId="3F92AAFC"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11,502,204</w:t>
            </w:r>
          </w:p>
        </w:tc>
      </w:tr>
      <w:tr w:rsidR="008810A2" w:rsidRPr="0071578F" w14:paraId="246EC439" w14:textId="77777777">
        <w:trPr>
          <w:trHeight w:val="333"/>
          <w:jc w:val="center"/>
        </w:trPr>
        <w:tc>
          <w:tcPr>
            <w:tcW w:w="2500" w:type="pct"/>
            <w:tcBorders>
              <w:top w:val="nil"/>
              <w:left w:val="nil"/>
              <w:bottom w:val="nil"/>
              <w:right w:val="single" w:sz="4" w:space="0" w:color="auto"/>
            </w:tcBorders>
            <w:noWrap/>
          </w:tcPr>
          <w:p w14:paraId="05E69C9E"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proofErr w:type="gramStart"/>
            <w:r w:rsidRPr="0071578F">
              <w:rPr>
                <w:rFonts w:ascii="Times New Roman" w:hAnsi="Times New Roman"/>
                <w:caps/>
                <w:color w:val="000000" w:themeColor="text1"/>
                <w:kern w:val="0"/>
                <w:sz w:val="20"/>
                <w:szCs w:val="20"/>
              </w:rPr>
              <w:t>.com.cn</w:t>
            </w:r>
            <w:proofErr w:type="gramEnd"/>
          </w:p>
        </w:tc>
        <w:tc>
          <w:tcPr>
            <w:tcW w:w="2500" w:type="pct"/>
            <w:tcBorders>
              <w:top w:val="nil"/>
              <w:left w:val="single" w:sz="4" w:space="0" w:color="auto"/>
              <w:bottom w:val="nil"/>
              <w:right w:val="nil"/>
            </w:tcBorders>
            <w:noWrap/>
          </w:tcPr>
          <w:p w14:paraId="7B1309E0"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3,090,128</w:t>
            </w:r>
          </w:p>
        </w:tc>
      </w:tr>
      <w:tr w:rsidR="008810A2" w:rsidRPr="0071578F" w14:paraId="247B1E99" w14:textId="77777777">
        <w:trPr>
          <w:trHeight w:val="333"/>
          <w:jc w:val="center"/>
        </w:trPr>
        <w:tc>
          <w:tcPr>
            <w:tcW w:w="2500" w:type="pct"/>
            <w:tcBorders>
              <w:top w:val="nil"/>
              <w:left w:val="nil"/>
              <w:bottom w:val="nil"/>
              <w:right w:val="single" w:sz="4" w:space="0" w:color="auto"/>
            </w:tcBorders>
            <w:noWrap/>
          </w:tcPr>
          <w:p w14:paraId="486A7D46"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proofErr w:type="gramStart"/>
            <w:r w:rsidRPr="0071578F">
              <w:rPr>
                <w:rFonts w:ascii="Times New Roman" w:hAnsi="Times New Roman"/>
                <w:caps/>
                <w:color w:val="000000" w:themeColor="text1"/>
                <w:kern w:val="0"/>
                <w:sz w:val="20"/>
                <w:szCs w:val="20"/>
              </w:rPr>
              <w:t>.adm.CN</w:t>
            </w:r>
            <w:proofErr w:type="gramEnd"/>
            <w:r w:rsidRPr="0071578F">
              <w:rPr>
                <w:rFonts w:ascii="Times New Roman" w:hAnsi="Times New Roman"/>
                <w:kern w:val="0"/>
                <w:sz w:val="20"/>
                <w:szCs w:val="20"/>
                <w:vertAlign w:val="superscript"/>
              </w:rPr>
              <w:footnoteReference w:id="12"/>
            </w:r>
          </w:p>
        </w:tc>
        <w:tc>
          <w:tcPr>
            <w:tcW w:w="2500" w:type="pct"/>
            <w:tcBorders>
              <w:top w:val="nil"/>
              <w:left w:val="single" w:sz="4" w:space="0" w:color="auto"/>
              <w:bottom w:val="nil"/>
              <w:right w:val="nil"/>
            </w:tcBorders>
            <w:noWrap/>
          </w:tcPr>
          <w:p w14:paraId="3854B39B"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3,144,000</w:t>
            </w:r>
          </w:p>
        </w:tc>
      </w:tr>
      <w:tr w:rsidR="008810A2" w:rsidRPr="0071578F" w14:paraId="79D2DCAB" w14:textId="77777777">
        <w:trPr>
          <w:trHeight w:val="333"/>
          <w:jc w:val="center"/>
        </w:trPr>
        <w:tc>
          <w:tcPr>
            <w:tcW w:w="2500" w:type="pct"/>
            <w:tcBorders>
              <w:top w:val="nil"/>
              <w:left w:val="nil"/>
              <w:bottom w:val="nil"/>
              <w:right w:val="single" w:sz="4" w:space="0" w:color="auto"/>
            </w:tcBorders>
            <w:noWrap/>
          </w:tcPr>
          <w:p w14:paraId="22518C88"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.net.cn</w:t>
            </w:r>
          </w:p>
        </w:tc>
        <w:tc>
          <w:tcPr>
            <w:tcW w:w="2500" w:type="pct"/>
            <w:tcBorders>
              <w:top w:val="nil"/>
              <w:left w:val="single" w:sz="4" w:space="0" w:color="auto"/>
              <w:bottom w:val="nil"/>
              <w:right w:val="nil"/>
            </w:tcBorders>
            <w:noWrap/>
          </w:tcPr>
          <w:p w14:paraId="2D88F2AF"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892,622</w:t>
            </w:r>
          </w:p>
        </w:tc>
      </w:tr>
      <w:tr w:rsidR="008810A2" w:rsidRPr="0071578F" w14:paraId="4262F5EF" w14:textId="77777777">
        <w:trPr>
          <w:trHeight w:val="333"/>
          <w:jc w:val="center"/>
        </w:trPr>
        <w:tc>
          <w:tcPr>
            <w:tcW w:w="2500" w:type="pct"/>
            <w:tcBorders>
              <w:top w:val="nil"/>
              <w:left w:val="nil"/>
              <w:bottom w:val="nil"/>
              <w:right w:val="single" w:sz="4" w:space="0" w:color="auto"/>
            </w:tcBorders>
            <w:noWrap/>
          </w:tcPr>
          <w:p w14:paraId="296875B2"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proofErr w:type="gramStart"/>
            <w:r w:rsidRPr="0071578F">
              <w:rPr>
                <w:rFonts w:ascii="Times New Roman" w:hAnsi="Times New Roman"/>
                <w:caps/>
                <w:color w:val="000000" w:themeColor="text1"/>
                <w:kern w:val="0"/>
                <w:sz w:val="20"/>
                <w:szCs w:val="20"/>
              </w:rPr>
              <w:t>.org.cn</w:t>
            </w:r>
            <w:proofErr w:type="gramEnd"/>
          </w:p>
        </w:tc>
        <w:tc>
          <w:tcPr>
            <w:tcW w:w="2500" w:type="pct"/>
            <w:tcBorders>
              <w:top w:val="nil"/>
              <w:left w:val="single" w:sz="4" w:space="0" w:color="auto"/>
              <w:bottom w:val="nil"/>
              <w:right w:val="nil"/>
            </w:tcBorders>
            <w:noWrap/>
          </w:tcPr>
          <w:p w14:paraId="277804F5"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778,744</w:t>
            </w:r>
          </w:p>
        </w:tc>
      </w:tr>
      <w:tr w:rsidR="008810A2" w:rsidRPr="0071578F" w14:paraId="0B9ABB79" w14:textId="77777777">
        <w:trPr>
          <w:trHeight w:val="333"/>
          <w:jc w:val="center"/>
        </w:trPr>
        <w:tc>
          <w:tcPr>
            <w:tcW w:w="2500" w:type="pct"/>
            <w:tcBorders>
              <w:top w:val="nil"/>
              <w:left w:val="nil"/>
              <w:bottom w:val="nil"/>
              <w:right w:val="single" w:sz="4" w:space="0" w:color="auto"/>
            </w:tcBorders>
            <w:noWrap/>
          </w:tcPr>
          <w:p w14:paraId="69819DE0"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proofErr w:type="gramStart"/>
            <w:r w:rsidRPr="0071578F">
              <w:rPr>
                <w:rFonts w:ascii="Times New Roman" w:hAnsi="Times New Roman"/>
                <w:caps/>
                <w:color w:val="000000" w:themeColor="text1"/>
                <w:kern w:val="0"/>
                <w:sz w:val="20"/>
                <w:szCs w:val="20"/>
              </w:rPr>
              <w:t>.ac.cn</w:t>
            </w:r>
            <w:proofErr w:type="gramEnd"/>
          </w:p>
        </w:tc>
        <w:tc>
          <w:tcPr>
            <w:tcW w:w="2500" w:type="pct"/>
            <w:tcBorders>
              <w:top w:val="nil"/>
              <w:left w:val="single" w:sz="4" w:space="0" w:color="auto"/>
              <w:bottom w:val="nil"/>
              <w:right w:val="nil"/>
            </w:tcBorders>
            <w:noWrap/>
          </w:tcPr>
          <w:p w14:paraId="2C92823A"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134,230</w:t>
            </w:r>
          </w:p>
        </w:tc>
      </w:tr>
      <w:tr w:rsidR="008810A2" w:rsidRPr="0071578F" w14:paraId="1284A29B" w14:textId="77777777">
        <w:trPr>
          <w:trHeight w:val="333"/>
          <w:jc w:val="center"/>
        </w:trPr>
        <w:tc>
          <w:tcPr>
            <w:tcW w:w="2500" w:type="pct"/>
            <w:tcBorders>
              <w:top w:val="nil"/>
              <w:left w:val="nil"/>
              <w:bottom w:val="nil"/>
              <w:right w:val="single" w:sz="4" w:space="0" w:color="auto"/>
            </w:tcBorders>
            <w:noWrap/>
          </w:tcPr>
          <w:p w14:paraId="4A16C09C"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proofErr w:type="gramStart"/>
            <w:r w:rsidRPr="0071578F">
              <w:rPr>
                <w:rFonts w:ascii="Times New Roman" w:hAnsi="Times New Roman"/>
                <w:caps/>
                <w:color w:val="000000" w:themeColor="text1"/>
                <w:kern w:val="0"/>
                <w:sz w:val="20"/>
                <w:szCs w:val="20"/>
              </w:rPr>
              <w:t>.gov.cn</w:t>
            </w:r>
            <w:proofErr w:type="gramEnd"/>
          </w:p>
        </w:tc>
        <w:tc>
          <w:tcPr>
            <w:tcW w:w="2500" w:type="pct"/>
            <w:tcBorders>
              <w:top w:val="nil"/>
              <w:left w:val="single" w:sz="4" w:space="0" w:color="auto"/>
              <w:bottom w:val="nil"/>
              <w:right w:val="nil"/>
            </w:tcBorders>
            <w:noWrap/>
          </w:tcPr>
          <w:p w14:paraId="65E80E97"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13,015</w:t>
            </w:r>
          </w:p>
        </w:tc>
      </w:tr>
      <w:tr w:rsidR="008810A2" w:rsidRPr="0071578F" w14:paraId="72C3FF89" w14:textId="77777777">
        <w:trPr>
          <w:trHeight w:val="333"/>
          <w:jc w:val="center"/>
        </w:trPr>
        <w:tc>
          <w:tcPr>
            <w:tcW w:w="2500" w:type="pct"/>
            <w:tcBorders>
              <w:top w:val="nil"/>
              <w:left w:val="nil"/>
              <w:bottom w:val="nil"/>
              <w:right w:val="single" w:sz="4" w:space="0" w:color="auto"/>
            </w:tcBorders>
            <w:noWrap/>
          </w:tcPr>
          <w:p w14:paraId="055ECF6E"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proofErr w:type="gramStart"/>
            <w:r w:rsidRPr="0071578F">
              <w:rPr>
                <w:rFonts w:ascii="Times New Roman" w:hAnsi="Times New Roman"/>
                <w:caps/>
                <w:color w:val="000000" w:themeColor="text1"/>
                <w:kern w:val="0"/>
                <w:sz w:val="20"/>
                <w:szCs w:val="20"/>
              </w:rPr>
              <w:t>.edu.cn</w:t>
            </w:r>
            <w:proofErr w:type="gramEnd"/>
          </w:p>
        </w:tc>
        <w:tc>
          <w:tcPr>
            <w:tcW w:w="2500" w:type="pct"/>
            <w:tcBorders>
              <w:top w:val="nil"/>
              <w:left w:val="single" w:sz="4" w:space="0" w:color="auto"/>
              <w:bottom w:val="nil"/>
              <w:right w:val="nil"/>
            </w:tcBorders>
            <w:noWrap/>
          </w:tcPr>
          <w:p w14:paraId="21486E81"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6,839</w:t>
            </w:r>
          </w:p>
        </w:tc>
      </w:tr>
      <w:tr w:rsidR="008810A2" w:rsidRPr="0071578F" w14:paraId="1D34EE4A" w14:textId="77777777">
        <w:trPr>
          <w:trHeight w:val="333"/>
          <w:jc w:val="center"/>
        </w:trPr>
        <w:tc>
          <w:tcPr>
            <w:tcW w:w="2500" w:type="pct"/>
            <w:tcBorders>
              <w:top w:val="nil"/>
              <w:left w:val="nil"/>
              <w:bottom w:val="nil"/>
              <w:right w:val="single" w:sz="4" w:space="0" w:color="auto"/>
            </w:tcBorders>
            <w:noWrap/>
          </w:tcPr>
          <w:p w14:paraId="642F1F35"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其他</w:t>
            </w:r>
          </w:p>
        </w:tc>
        <w:tc>
          <w:tcPr>
            <w:tcW w:w="2500" w:type="pct"/>
            <w:tcBorders>
              <w:top w:val="nil"/>
              <w:left w:val="single" w:sz="4" w:space="0" w:color="auto"/>
              <w:bottom w:val="nil"/>
              <w:right w:val="nil"/>
            </w:tcBorders>
            <w:noWrap/>
          </w:tcPr>
          <w:p w14:paraId="7ECD1894"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225</w:t>
            </w:r>
          </w:p>
        </w:tc>
      </w:tr>
      <w:tr w:rsidR="008810A2" w:rsidRPr="0071578F" w14:paraId="31EB13BC" w14:textId="77777777">
        <w:trPr>
          <w:trHeight w:val="333"/>
          <w:jc w:val="center"/>
        </w:trPr>
        <w:tc>
          <w:tcPr>
            <w:tcW w:w="2500" w:type="pct"/>
            <w:tcBorders>
              <w:top w:val="nil"/>
              <w:left w:val="nil"/>
              <w:bottom w:val="single" w:sz="4" w:space="0" w:color="auto"/>
              <w:right w:val="single" w:sz="4" w:space="0" w:color="auto"/>
            </w:tcBorders>
            <w:noWrap/>
          </w:tcPr>
          <w:p w14:paraId="12A63E90"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olor w:val="000000" w:themeColor="text1"/>
                <w:kern w:val="0"/>
                <w:sz w:val="20"/>
                <w:szCs w:val="20"/>
              </w:rPr>
              <w:t>合计</w:t>
            </w:r>
          </w:p>
        </w:tc>
        <w:tc>
          <w:tcPr>
            <w:tcW w:w="2500" w:type="pct"/>
            <w:tcBorders>
              <w:top w:val="nil"/>
              <w:left w:val="single" w:sz="4" w:space="0" w:color="auto"/>
              <w:bottom w:val="single" w:sz="4" w:space="0" w:color="auto"/>
              <w:right w:val="nil"/>
            </w:tcBorders>
            <w:noWrap/>
          </w:tcPr>
          <w:p w14:paraId="0EBADE33" w14:textId="77777777" w:rsidR="008810A2" w:rsidRPr="0071578F" w:rsidRDefault="00D921E0">
            <w:pPr>
              <w:widowControl/>
              <w:spacing w:line="240" w:lineRule="auto"/>
              <w:ind w:firstLineChars="0" w:firstLine="0"/>
              <w:jc w:val="center"/>
              <w:rPr>
                <w:rFonts w:ascii="Times New Roman" w:eastAsia="等线" w:hAnsi="Times New Roman"/>
                <w:color w:val="000000"/>
                <w:kern w:val="0"/>
                <w:sz w:val="20"/>
                <w:szCs w:val="20"/>
              </w:rPr>
            </w:pPr>
            <w:r w:rsidRPr="0071578F">
              <w:rPr>
                <w:rFonts w:ascii="Times New Roman" w:eastAsia="等线" w:hAnsi="Times New Roman"/>
                <w:color w:val="000000"/>
                <w:kern w:val="0"/>
                <w:sz w:val="20"/>
                <w:szCs w:val="20"/>
              </w:rPr>
              <w:t>19,562,007</w:t>
            </w:r>
          </w:p>
        </w:tc>
      </w:tr>
    </w:tbl>
    <w:p w14:paraId="2260D888" w14:textId="77777777" w:rsidR="008810A2" w:rsidRDefault="008810A2">
      <w:pPr>
        <w:ind w:firstLine="420"/>
      </w:pPr>
    </w:p>
    <w:p w14:paraId="785FACF3" w14:textId="77777777" w:rsidR="008810A2" w:rsidRDefault="00D921E0">
      <w:pPr>
        <w:keepLines/>
        <w:numPr>
          <w:ilvl w:val="0"/>
          <w:numId w:val="4"/>
        </w:numPr>
        <w:topLinePunct/>
        <w:snapToGrid w:val="0"/>
        <w:spacing w:before="320" w:after="200"/>
        <w:ind w:firstLineChars="0"/>
        <w:outlineLvl w:val="2"/>
        <w:rPr>
          <w:rFonts w:eastAsia="楷体_GB2312"/>
          <w:sz w:val="30"/>
          <w:szCs w:val="30"/>
        </w:rPr>
      </w:pPr>
      <w:bookmarkStart w:id="167" w:name="_Toc175065692"/>
      <w:r>
        <w:rPr>
          <w:rFonts w:eastAsia="楷体_GB2312"/>
          <w:sz w:val="30"/>
          <w:szCs w:val="30"/>
        </w:rPr>
        <w:lastRenderedPageBreak/>
        <w:t>移动电话基站数量</w:t>
      </w:r>
      <w:bookmarkEnd w:id="167"/>
    </w:p>
    <w:p w14:paraId="097AD46D" w14:textId="77777777" w:rsidR="008810A2" w:rsidRDefault="00D921E0">
      <w:pPr>
        <w:ind w:firstLine="420"/>
        <w:rPr>
          <w:rFonts w:eastAsia="楷体_GB2312"/>
          <w:color w:val="000000" w:themeColor="text1"/>
          <w:sz w:val="30"/>
          <w:szCs w:val="30"/>
        </w:rPr>
      </w:pPr>
      <w:r>
        <w:rPr>
          <w:color w:val="000000" w:themeColor="text1"/>
        </w:rPr>
        <w:t>截至</w:t>
      </w:r>
      <w:r>
        <w:rPr>
          <w:color w:val="000000" w:themeColor="text1"/>
        </w:rPr>
        <w:t>2024</w:t>
      </w:r>
      <w:r>
        <w:rPr>
          <w:color w:val="000000" w:themeColor="text1"/>
        </w:rPr>
        <w:t>年</w:t>
      </w:r>
      <w:r>
        <w:rPr>
          <w:color w:val="000000" w:themeColor="text1"/>
        </w:rPr>
        <w:t>6</w:t>
      </w:r>
      <w:r>
        <w:rPr>
          <w:color w:val="000000" w:themeColor="text1"/>
        </w:rPr>
        <w:t>月，</w:t>
      </w:r>
      <w:r>
        <w:rPr>
          <w:bCs/>
        </w:rPr>
        <w:t>我国移动电话基站总数达</w:t>
      </w:r>
      <w:r>
        <w:rPr>
          <w:bCs/>
        </w:rPr>
        <w:t>1188</w:t>
      </w:r>
      <w:r>
        <w:rPr>
          <w:bCs/>
        </w:rPr>
        <w:t>万个，</w:t>
      </w:r>
      <w:r>
        <w:rPr>
          <w:color w:val="000000" w:themeColor="text1"/>
        </w:rPr>
        <w:t>较</w:t>
      </w:r>
      <w:r>
        <w:rPr>
          <w:color w:val="000000" w:themeColor="text1"/>
        </w:rPr>
        <w:t>2023</w:t>
      </w:r>
      <w:r>
        <w:rPr>
          <w:color w:val="000000" w:themeColor="text1"/>
        </w:rPr>
        <w:t>年</w:t>
      </w:r>
      <w:r>
        <w:rPr>
          <w:color w:val="000000" w:themeColor="text1"/>
        </w:rPr>
        <w:t>12</w:t>
      </w:r>
      <w:r>
        <w:rPr>
          <w:color w:val="000000" w:themeColor="text1"/>
        </w:rPr>
        <w:t>月净</w:t>
      </w:r>
      <w:r>
        <w:rPr>
          <w:bCs/>
        </w:rPr>
        <w:t>增</w:t>
      </w:r>
      <w:r>
        <w:rPr>
          <w:bCs/>
        </w:rPr>
        <w:t>26.5</w:t>
      </w:r>
      <w:r>
        <w:rPr>
          <w:bCs/>
        </w:rPr>
        <w:t>万个。其中，</w:t>
      </w:r>
      <w:r>
        <w:rPr>
          <w:color w:val="000000"/>
        </w:rPr>
        <w:t>5G</w:t>
      </w:r>
      <w:r>
        <w:rPr>
          <w:color w:val="000000"/>
        </w:rPr>
        <w:t>基站总数达</w:t>
      </w:r>
      <w:r>
        <w:rPr>
          <w:color w:val="000000"/>
        </w:rPr>
        <w:t>391.7</w:t>
      </w:r>
      <w:r>
        <w:rPr>
          <w:color w:val="000000"/>
        </w:rPr>
        <w:t>万个，</w:t>
      </w:r>
      <w:r>
        <w:rPr>
          <w:bCs/>
        </w:rPr>
        <w:t>占移动基站总数的</w:t>
      </w:r>
      <w:r>
        <w:rPr>
          <w:bCs/>
        </w:rPr>
        <w:t>33%</w:t>
      </w:r>
      <w:r>
        <w:rPr>
          <w:bCs/>
        </w:rPr>
        <w:t>，</w:t>
      </w:r>
      <w:proofErr w:type="gramStart"/>
      <w:r>
        <w:rPr>
          <w:bCs/>
        </w:rPr>
        <w:t>占比较</w:t>
      </w:r>
      <w:proofErr w:type="gramEnd"/>
      <w:r>
        <w:rPr>
          <w:bCs/>
        </w:rPr>
        <w:t>一季度提高</w:t>
      </w:r>
      <w:r>
        <w:rPr>
          <w:bCs/>
        </w:rPr>
        <w:t>2.4</w:t>
      </w:r>
      <w:r>
        <w:rPr>
          <w:bCs/>
        </w:rPr>
        <w:t>个百分点。</w:t>
      </w:r>
    </w:p>
    <w:p w14:paraId="48340DAC" w14:textId="77777777" w:rsidR="008810A2" w:rsidRDefault="00D921E0" w:rsidP="002B0D05">
      <w:pPr>
        <w:pStyle w:val="a4"/>
      </w:pPr>
      <w:r>
        <w:rPr>
          <w:noProof/>
        </w:rPr>
        <w:drawing>
          <wp:inline distT="0" distB="0" distL="0" distR="0" wp14:anchorId="4E95C0F7" wp14:editId="621890FB">
            <wp:extent cx="4902200" cy="2882900"/>
            <wp:effectExtent l="4445" t="4445" r="15875" b="8255"/>
            <wp:docPr id="543878858" name="图表 5438788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FD628B" w14:textId="5AE5C720"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4</w:t>
      </w:r>
      <w:r>
        <w:fldChar w:fldCharType="end"/>
      </w:r>
      <w:r>
        <w:t xml:space="preserve">  </w:t>
      </w:r>
      <w:r>
        <w:t>移动电话基站数量</w:t>
      </w:r>
    </w:p>
    <w:p w14:paraId="06BA26EC" w14:textId="77777777" w:rsidR="008810A2" w:rsidRDefault="00D921E0">
      <w:pPr>
        <w:keepLines/>
        <w:numPr>
          <w:ilvl w:val="0"/>
          <w:numId w:val="4"/>
        </w:numPr>
        <w:topLinePunct/>
        <w:snapToGrid w:val="0"/>
        <w:spacing w:before="320" w:after="200"/>
        <w:ind w:firstLineChars="0"/>
        <w:outlineLvl w:val="2"/>
        <w:rPr>
          <w:rFonts w:eastAsia="楷体_GB2312"/>
          <w:sz w:val="30"/>
          <w:szCs w:val="30"/>
        </w:rPr>
      </w:pPr>
      <w:bookmarkStart w:id="168" w:name="_Toc175065693"/>
      <w:r>
        <w:rPr>
          <w:rFonts w:eastAsia="楷体_GB2312"/>
          <w:sz w:val="30"/>
          <w:szCs w:val="30"/>
        </w:rPr>
        <w:t>互联网宽带接入端口数量</w:t>
      </w:r>
      <w:bookmarkEnd w:id="168"/>
    </w:p>
    <w:p w14:paraId="2E73D698" w14:textId="77777777" w:rsidR="008810A2" w:rsidRDefault="00D921E0">
      <w:pPr>
        <w:ind w:firstLine="420"/>
        <w:rPr>
          <w:color w:val="000000" w:themeColor="text1"/>
          <w:szCs w:val="21"/>
        </w:rPr>
      </w:pPr>
      <w:r>
        <w:rPr>
          <w:color w:val="070707"/>
        </w:rPr>
        <w:t>截至</w:t>
      </w:r>
      <w:r>
        <w:rPr>
          <w:color w:val="070707"/>
        </w:rPr>
        <w:t>2024</w:t>
      </w:r>
      <w:r>
        <w:rPr>
          <w:color w:val="070707"/>
        </w:rPr>
        <w:t>年</w:t>
      </w:r>
      <w:r>
        <w:rPr>
          <w:color w:val="070707"/>
        </w:rPr>
        <w:t>6</w:t>
      </w:r>
      <w:r>
        <w:rPr>
          <w:color w:val="070707"/>
        </w:rPr>
        <w:t>月，我国互联网宽带接入端口数达到</w:t>
      </w:r>
      <w:r>
        <w:rPr>
          <w:color w:val="070707"/>
        </w:rPr>
        <w:t>11.69</w:t>
      </w:r>
      <w:r>
        <w:rPr>
          <w:color w:val="070707"/>
        </w:rPr>
        <w:t>亿个，较</w:t>
      </w:r>
      <w:r>
        <w:rPr>
          <w:color w:val="070707"/>
        </w:rPr>
        <w:t>2023</w:t>
      </w:r>
      <w:r>
        <w:rPr>
          <w:color w:val="070707"/>
        </w:rPr>
        <w:t>年</w:t>
      </w:r>
      <w:r>
        <w:rPr>
          <w:color w:val="070707"/>
        </w:rPr>
        <w:t>12</w:t>
      </w:r>
      <w:r>
        <w:rPr>
          <w:color w:val="070707"/>
        </w:rPr>
        <w:t>月净增</w:t>
      </w:r>
      <w:r>
        <w:rPr>
          <w:color w:val="070707"/>
        </w:rPr>
        <w:t>3354</w:t>
      </w:r>
      <w:r>
        <w:rPr>
          <w:color w:val="070707"/>
        </w:rPr>
        <w:t>万个。其中，光纤接入（</w:t>
      </w:r>
      <w:r>
        <w:rPr>
          <w:color w:val="070707"/>
        </w:rPr>
        <w:t>FTTH/O</w:t>
      </w:r>
      <w:r>
        <w:rPr>
          <w:color w:val="070707"/>
        </w:rPr>
        <w:t>）端口达到</w:t>
      </w:r>
      <w:r>
        <w:rPr>
          <w:color w:val="070707"/>
        </w:rPr>
        <w:t>11.30</w:t>
      </w:r>
      <w:r>
        <w:rPr>
          <w:color w:val="070707"/>
        </w:rPr>
        <w:t>亿个，较</w:t>
      </w:r>
      <w:r>
        <w:rPr>
          <w:color w:val="070707"/>
        </w:rPr>
        <w:t>2023</w:t>
      </w:r>
      <w:r>
        <w:rPr>
          <w:color w:val="070707"/>
        </w:rPr>
        <w:t>年</w:t>
      </w:r>
      <w:r>
        <w:rPr>
          <w:color w:val="070707"/>
        </w:rPr>
        <w:t>12</w:t>
      </w:r>
      <w:r>
        <w:rPr>
          <w:color w:val="070707"/>
        </w:rPr>
        <w:t>月净增</w:t>
      </w:r>
      <w:r>
        <w:rPr>
          <w:color w:val="070707"/>
        </w:rPr>
        <w:t>3542</w:t>
      </w:r>
      <w:r>
        <w:rPr>
          <w:color w:val="070707"/>
        </w:rPr>
        <w:t>万个，占互联网宽带接入端口的</w:t>
      </w:r>
      <w:r>
        <w:rPr>
          <w:color w:val="070707"/>
        </w:rPr>
        <w:t>96.6%</w:t>
      </w:r>
      <w:r>
        <w:rPr>
          <w:color w:val="070707"/>
        </w:rPr>
        <w:t>；具备千兆网络服务能力的</w:t>
      </w:r>
      <w:r>
        <w:rPr>
          <w:color w:val="070707"/>
        </w:rPr>
        <w:t>10G PON</w:t>
      </w:r>
      <w:r>
        <w:rPr>
          <w:color w:val="070707"/>
        </w:rPr>
        <w:t>端口数达</w:t>
      </w:r>
      <w:r>
        <w:rPr>
          <w:color w:val="070707"/>
        </w:rPr>
        <w:t>2597</w:t>
      </w:r>
      <w:r>
        <w:rPr>
          <w:color w:val="070707"/>
        </w:rPr>
        <w:t>万个，较</w:t>
      </w:r>
      <w:r>
        <w:rPr>
          <w:color w:val="070707"/>
        </w:rPr>
        <w:t>2023</w:t>
      </w:r>
      <w:r>
        <w:rPr>
          <w:color w:val="070707"/>
        </w:rPr>
        <w:t>年</w:t>
      </w:r>
      <w:r>
        <w:rPr>
          <w:color w:val="070707"/>
        </w:rPr>
        <w:t>12</w:t>
      </w:r>
      <w:r>
        <w:rPr>
          <w:color w:val="070707"/>
        </w:rPr>
        <w:t>月净增</w:t>
      </w:r>
      <w:r>
        <w:rPr>
          <w:color w:val="070707"/>
        </w:rPr>
        <w:t>295.1</w:t>
      </w:r>
      <w:r>
        <w:rPr>
          <w:color w:val="070707"/>
        </w:rPr>
        <w:t>万个。</w:t>
      </w:r>
    </w:p>
    <w:p w14:paraId="2CFC5B2A" w14:textId="77777777" w:rsidR="008810A2" w:rsidRDefault="00D921E0" w:rsidP="002B0D05">
      <w:pPr>
        <w:pStyle w:val="a4"/>
      </w:pPr>
      <w:r>
        <w:rPr>
          <w:noProof/>
        </w:rPr>
        <w:lastRenderedPageBreak/>
        <w:drawing>
          <wp:inline distT="0" distB="0" distL="0" distR="0" wp14:anchorId="637ED170" wp14:editId="133590E1">
            <wp:extent cx="4902200" cy="2882900"/>
            <wp:effectExtent l="4445" t="4445" r="15875" b="8255"/>
            <wp:docPr id="1571662371" name="图表 1571662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421AD8" w14:textId="361AAE17" w:rsidR="008810A2" w:rsidRDefault="00D921E0" w:rsidP="002B0D05">
      <w:pPr>
        <w:pStyle w:val="a4"/>
      </w:pPr>
      <w:r>
        <w:t>图</w:t>
      </w:r>
      <w:r>
        <w:t xml:space="preserve"> </w:t>
      </w:r>
      <w:r>
        <w:fldChar w:fldCharType="begin"/>
      </w:r>
      <w:r>
        <w:instrText xml:space="preserve">SEQ </w:instrText>
      </w:r>
      <w:r>
        <w:instrText>图</w:instrText>
      </w:r>
      <w:r>
        <w:instrText xml:space="preserve"> \* ARABIC</w:instrText>
      </w:r>
      <w:r>
        <w:fldChar w:fldCharType="separate"/>
      </w:r>
      <w:r w:rsidR="00A057C8">
        <w:rPr>
          <w:noProof/>
        </w:rPr>
        <w:t>5</w:t>
      </w:r>
      <w:r>
        <w:fldChar w:fldCharType="end"/>
      </w:r>
      <w:r>
        <w:t xml:space="preserve">  </w:t>
      </w:r>
      <w:r>
        <w:t>互联网宽带接入端口数量</w:t>
      </w:r>
    </w:p>
    <w:p w14:paraId="4B0CC056" w14:textId="77777777" w:rsidR="008810A2" w:rsidRDefault="00D921E0">
      <w:pPr>
        <w:keepLines/>
        <w:numPr>
          <w:ilvl w:val="0"/>
          <w:numId w:val="4"/>
        </w:numPr>
        <w:topLinePunct/>
        <w:snapToGrid w:val="0"/>
        <w:spacing w:before="320" w:after="200"/>
        <w:ind w:firstLineChars="0"/>
        <w:outlineLvl w:val="2"/>
        <w:rPr>
          <w:rFonts w:eastAsia="楷体_GB2312"/>
          <w:sz w:val="30"/>
          <w:szCs w:val="30"/>
        </w:rPr>
      </w:pPr>
      <w:bookmarkStart w:id="169" w:name="_Toc175065694"/>
      <w:r>
        <w:rPr>
          <w:rFonts w:eastAsia="楷体_GB2312"/>
          <w:sz w:val="30"/>
          <w:szCs w:val="30"/>
        </w:rPr>
        <w:t>光缆线路总长度</w:t>
      </w:r>
      <w:bookmarkEnd w:id="169"/>
    </w:p>
    <w:p w14:paraId="433B8459"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月，我国光缆线路总长度达</w:t>
      </w:r>
      <w:r>
        <w:rPr>
          <w:color w:val="000000" w:themeColor="text1"/>
          <w:szCs w:val="21"/>
        </w:rPr>
        <w:t>6712</w:t>
      </w:r>
      <w:r>
        <w:rPr>
          <w:color w:val="000000" w:themeColor="text1"/>
          <w:szCs w:val="21"/>
        </w:rPr>
        <w:t>万公里，较</w:t>
      </w:r>
      <w:r>
        <w:rPr>
          <w:color w:val="000000" w:themeColor="text1"/>
          <w:szCs w:val="21"/>
        </w:rPr>
        <w:t>2023</w:t>
      </w:r>
      <w:r>
        <w:rPr>
          <w:color w:val="000000" w:themeColor="text1"/>
          <w:szCs w:val="21"/>
        </w:rPr>
        <w:t>年</w:t>
      </w:r>
      <w:r>
        <w:rPr>
          <w:color w:val="000000" w:themeColor="text1"/>
          <w:szCs w:val="21"/>
        </w:rPr>
        <w:t>12</w:t>
      </w:r>
      <w:r>
        <w:rPr>
          <w:color w:val="000000" w:themeColor="text1"/>
          <w:szCs w:val="21"/>
        </w:rPr>
        <w:t>月净增</w:t>
      </w:r>
      <w:r>
        <w:rPr>
          <w:color w:val="000000" w:themeColor="text1"/>
          <w:szCs w:val="21"/>
        </w:rPr>
        <w:t>279.9</w:t>
      </w:r>
      <w:r>
        <w:rPr>
          <w:color w:val="000000" w:themeColor="text1"/>
          <w:szCs w:val="21"/>
        </w:rPr>
        <w:t>万公里。其中接入网光缆、本地网中继光缆和长途光缆线路所占比重分别为</w:t>
      </w:r>
      <w:r>
        <w:rPr>
          <w:color w:val="000000" w:themeColor="text1"/>
          <w:szCs w:val="21"/>
        </w:rPr>
        <w:t>62.7%</w:t>
      </w:r>
      <w:r>
        <w:rPr>
          <w:color w:val="000000" w:themeColor="text1"/>
          <w:szCs w:val="21"/>
        </w:rPr>
        <w:t>、</w:t>
      </w:r>
      <w:r>
        <w:rPr>
          <w:color w:val="000000" w:themeColor="text1"/>
          <w:szCs w:val="21"/>
        </w:rPr>
        <w:t>35.6%</w:t>
      </w:r>
      <w:r>
        <w:rPr>
          <w:color w:val="000000" w:themeColor="text1"/>
          <w:szCs w:val="21"/>
        </w:rPr>
        <w:t>和</w:t>
      </w:r>
      <w:r>
        <w:rPr>
          <w:color w:val="000000" w:themeColor="text1"/>
          <w:szCs w:val="21"/>
        </w:rPr>
        <w:t>1.7%</w:t>
      </w:r>
      <w:r>
        <w:rPr>
          <w:color w:val="000000" w:themeColor="text1"/>
          <w:szCs w:val="21"/>
        </w:rPr>
        <w:t>。</w:t>
      </w:r>
    </w:p>
    <w:p w14:paraId="5D5133C1" w14:textId="77777777" w:rsidR="008810A2" w:rsidRDefault="00D921E0" w:rsidP="002B0D05">
      <w:pPr>
        <w:pStyle w:val="a4"/>
      </w:pPr>
      <w:r>
        <w:rPr>
          <w:noProof/>
        </w:rPr>
        <w:drawing>
          <wp:inline distT="0" distB="0" distL="0" distR="0" wp14:anchorId="0903BD64" wp14:editId="6F855AE6">
            <wp:extent cx="4902200" cy="2882900"/>
            <wp:effectExtent l="4445" t="4445" r="15875" b="825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F3B62C2" w14:textId="4052BBDE"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6</w:t>
      </w:r>
      <w:r>
        <w:fldChar w:fldCharType="end"/>
      </w:r>
      <w:r>
        <w:t xml:space="preserve">  </w:t>
      </w:r>
      <w:r>
        <w:t>光缆线路总长度</w:t>
      </w:r>
    </w:p>
    <w:p w14:paraId="744878AD" w14:textId="77777777" w:rsidR="008810A2" w:rsidRDefault="00D921E0">
      <w:pPr>
        <w:pStyle w:val="2"/>
        <w:numPr>
          <w:ilvl w:val="0"/>
          <w:numId w:val="3"/>
        </w:numPr>
        <w:tabs>
          <w:tab w:val="left" w:pos="360"/>
        </w:tabs>
        <w:spacing w:before="400" w:after="300" w:line="312" w:lineRule="auto"/>
        <w:ind w:left="0" w:firstLine="0"/>
        <w:rPr>
          <w:rFonts w:eastAsia="黑体"/>
          <w:color w:val="000000" w:themeColor="text1"/>
          <w:sz w:val="36"/>
          <w:szCs w:val="36"/>
        </w:rPr>
      </w:pPr>
      <w:bookmarkStart w:id="170" w:name="_Toc142917094"/>
      <w:bookmarkStart w:id="171" w:name="_Toc175065695"/>
      <w:r>
        <w:rPr>
          <w:rFonts w:eastAsia="黑体"/>
          <w:color w:val="000000" w:themeColor="text1"/>
          <w:sz w:val="36"/>
          <w:szCs w:val="36"/>
        </w:rPr>
        <w:lastRenderedPageBreak/>
        <w:t>互联网基础资源应用</w:t>
      </w:r>
      <w:bookmarkEnd w:id="170"/>
      <w:r>
        <w:rPr>
          <w:rFonts w:eastAsia="黑体"/>
          <w:color w:val="000000" w:themeColor="text1"/>
          <w:sz w:val="36"/>
          <w:szCs w:val="36"/>
        </w:rPr>
        <w:t>状况</w:t>
      </w:r>
      <w:bookmarkEnd w:id="171"/>
    </w:p>
    <w:p w14:paraId="1B4A7AA3" w14:textId="77777777" w:rsidR="008810A2" w:rsidRDefault="00D921E0">
      <w:pPr>
        <w:keepLines/>
        <w:numPr>
          <w:ilvl w:val="0"/>
          <w:numId w:val="5"/>
        </w:numPr>
        <w:topLinePunct/>
        <w:snapToGrid w:val="0"/>
        <w:spacing w:before="320" w:after="200"/>
        <w:ind w:firstLineChars="0"/>
        <w:outlineLvl w:val="2"/>
        <w:rPr>
          <w:rFonts w:eastAsia="楷体_GB2312"/>
          <w:color w:val="000000" w:themeColor="text1"/>
          <w:sz w:val="30"/>
          <w:szCs w:val="30"/>
        </w:rPr>
      </w:pPr>
      <w:bookmarkStart w:id="172" w:name="_Toc175065696"/>
      <w:bookmarkStart w:id="173" w:name="_Toc142917095"/>
      <w:r>
        <w:rPr>
          <w:rFonts w:eastAsia="楷体_GB2312"/>
          <w:color w:val="000000" w:themeColor="text1"/>
          <w:sz w:val="30"/>
          <w:szCs w:val="30"/>
        </w:rPr>
        <w:t>网站</w:t>
      </w:r>
      <w:bookmarkEnd w:id="172"/>
      <w:bookmarkEnd w:id="173"/>
    </w:p>
    <w:p w14:paraId="134F8760"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月，我国网站</w:t>
      </w:r>
      <w:r>
        <w:rPr>
          <w:color w:val="000000" w:themeColor="text1"/>
          <w:vertAlign w:val="superscript"/>
        </w:rPr>
        <w:footnoteReference w:id="13"/>
      </w:r>
      <w:r>
        <w:rPr>
          <w:color w:val="000000" w:themeColor="text1"/>
          <w:szCs w:val="21"/>
        </w:rPr>
        <w:t>数量为</w:t>
      </w:r>
      <w:r>
        <w:rPr>
          <w:color w:val="000000" w:themeColor="text1"/>
          <w:szCs w:val="21"/>
        </w:rPr>
        <w:t>391</w:t>
      </w:r>
      <w:r>
        <w:rPr>
          <w:color w:val="000000" w:themeColor="text1"/>
          <w:szCs w:val="21"/>
        </w:rPr>
        <w:t>万个。</w:t>
      </w:r>
    </w:p>
    <w:p w14:paraId="6D091E47" w14:textId="77777777" w:rsidR="008810A2" w:rsidRDefault="00D921E0" w:rsidP="002B0D05">
      <w:pPr>
        <w:pStyle w:val="a4"/>
      </w:pPr>
      <w:r>
        <w:rPr>
          <w:noProof/>
        </w:rPr>
        <w:drawing>
          <wp:inline distT="0" distB="0" distL="0" distR="0" wp14:anchorId="69FD24E2" wp14:editId="2F7CF1B5">
            <wp:extent cx="4758690" cy="2674620"/>
            <wp:effectExtent l="4445" t="4445" r="6985" b="18415"/>
            <wp:docPr id="882946091" name="图表 8829460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1DB70AC" w14:textId="091B86B7"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7</w:t>
      </w:r>
      <w:r>
        <w:fldChar w:fldCharType="end"/>
      </w:r>
      <w:r>
        <w:t xml:space="preserve">  </w:t>
      </w:r>
      <w:r>
        <w:t>网站数量</w:t>
      </w:r>
    </w:p>
    <w:p w14:paraId="2A7E3919"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w:t>
      </w:r>
      <w:r>
        <w:rPr>
          <w:rFonts w:ascii="宋体" w:hAnsi="宋体"/>
          <w:color w:val="000000" w:themeColor="text1"/>
          <w:szCs w:val="21"/>
        </w:rPr>
        <w:t>“</w:t>
      </w:r>
      <w:r>
        <w:rPr>
          <w:color w:val="000000" w:themeColor="text1"/>
          <w:szCs w:val="21"/>
        </w:rPr>
        <w:t>.CN</w:t>
      </w:r>
      <w:r>
        <w:rPr>
          <w:rFonts w:ascii="宋体" w:hAnsi="宋体"/>
          <w:color w:val="000000" w:themeColor="text1"/>
          <w:szCs w:val="21"/>
        </w:rPr>
        <w:t>”</w:t>
      </w:r>
      <w:r>
        <w:rPr>
          <w:color w:val="000000" w:themeColor="text1"/>
          <w:szCs w:val="21"/>
        </w:rPr>
        <w:t>全球网站数量为</w:t>
      </w:r>
      <w:r>
        <w:rPr>
          <w:color w:val="000000" w:themeColor="text1"/>
          <w:szCs w:val="21"/>
        </w:rPr>
        <w:t>23</w:t>
      </w:r>
      <w:r>
        <w:rPr>
          <w:rFonts w:hint="eastAsia"/>
          <w:color w:val="000000" w:themeColor="text1"/>
          <w:szCs w:val="21"/>
        </w:rPr>
        <w:t>2</w:t>
      </w:r>
      <w:r>
        <w:rPr>
          <w:color w:val="000000" w:themeColor="text1"/>
          <w:szCs w:val="21"/>
        </w:rPr>
        <w:t>万个。</w:t>
      </w:r>
    </w:p>
    <w:p w14:paraId="476139EA" w14:textId="77777777" w:rsidR="008810A2" w:rsidRDefault="00D921E0" w:rsidP="002B0D05">
      <w:pPr>
        <w:pStyle w:val="a4"/>
      </w:pPr>
      <w:r>
        <w:rPr>
          <w:noProof/>
        </w:rPr>
        <w:drawing>
          <wp:inline distT="0" distB="0" distL="0" distR="0" wp14:anchorId="67516D0A" wp14:editId="26A12D03">
            <wp:extent cx="4951730" cy="2506980"/>
            <wp:effectExtent l="0" t="0" r="1270" b="7620"/>
            <wp:docPr id="1937640227" name="图表 1937640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F7AAEF" w14:textId="48F266D2"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8</w:t>
      </w:r>
      <w:r>
        <w:fldChar w:fldCharType="end"/>
      </w:r>
      <w:r>
        <w:t xml:space="preserve">  </w:t>
      </w:r>
      <w:r>
        <w:rPr>
          <w:rFonts w:ascii="宋体" w:eastAsia="宋体" w:hAnsi="宋体"/>
        </w:rPr>
        <w:t>“</w:t>
      </w:r>
      <w:r>
        <w:t>.CN</w:t>
      </w:r>
      <w:r>
        <w:rPr>
          <w:rFonts w:ascii="宋体" w:eastAsia="宋体" w:hAnsi="宋体"/>
        </w:rPr>
        <w:t>”</w:t>
      </w:r>
      <w:r>
        <w:t>全球网站数量</w:t>
      </w:r>
    </w:p>
    <w:p w14:paraId="7365865C" w14:textId="77777777" w:rsidR="008810A2" w:rsidRDefault="00D921E0">
      <w:pPr>
        <w:keepLines/>
        <w:numPr>
          <w:ilvl w:val="0"/>
          <w:numId w:val="5"/>
        </w:numPr>
        <w:topLinePunct/>
        <w:snapToGrid w:val="0"/>
        <w:spacing w:before="320" w:after="200"/>
        <w:ind w:firstLineChars="0"/>
        <w:outlineLvl w:val="2"/>
        <w:rPr>
          <w:rFonts w:eastAsia="楷体_GB2312"/>
          <w:color w:val="000000" w:themeColor="text1"/>
          <w:sz w:val="30"/>
          <w:szCs w:val="30"/>
        </w:rPr>
      </w:pPr>
      <w:bookmarkStart w:id="174" w:name="_Toc175065697"/>
      <w:r>
        <w:rPr>
          <w:rFonts w:eastAsia="楷体_GB2312"/>
          <w:color w:val="000000" w:themeColor="text1"/>
          <w:sz w:val="30"/>
          <w:szCs w:val="30"/>
        </w:rPr>
        <w:lastRenderedPageBreak/>
        <w:t>移动互联网接入流量</w:t>
      </w:r>
      <w:bookmarkEnd w:id="174"/>
    </w:p>
    <w:p w14:paraId="18E07B39" w14:textId="77777777" w:rsidR="008810A2" w:rsidRDefault="00D921E0">
      <w:pPr>
        <w:spacing w:beforeLines="50" w:before="156"/>
        <w:ind w:firstLine="420"/>
        <w:rPr>
          <w:color w:val="000000" w:themeColor="text1"/>
          <w:szCs w:val="21"/>
        </w:rPr>
      </w:pPr>
      <w:r>
        <w:rPr>
          <w:color w:val="000000" w:themeColor="text1"/>
        </w:rPr>
        <w:t>2024</w:t>
      </w:r>
      <w:r>
        <w:rPr>
          <w:color w:val="000000" w:themeColor="text1"/>
        </w:rPr>
        <w:t>年上半年，我国</w:t>
      </w:r>
      <w:r>
        <w:rPr>
          <w:color w:val="000000" w:themeColor="text1"/>
          <w:szCs w:val="21"/>
        </w:rPr>
        <w:t>移动互联网接入流量达</w:t>
      </w:r>
      <w:r>
        <w:rPr>
          <w:color w:val="000000" w:themeColor="text1"/>
          <w:szCs w:val="21"/>
        </w:rPr>
        <w:t>1604</w:t>
      </w:r>
      <w:r>
        <w:rPr>
          <w:color w:val="000000" w:themeColor="text1"/>
          <w:szCs w:val="21"/>
        </w:rPr>
        <w:t>亿</w:t>
      </w:r>
      <w:r>
        <w:rPr>
          <w:color w:val="000000" w:themeColor="text1"/>
          <w:szCs w:val="21"/>
        </w:rPr>
        <w:t>GB</w:t>
      </w:r>
      <w:r>
        <w:rPr>
          <w:color w:val="000000" w:themeColor="text1"/>
          <w:szCs w:val="21"/>
        </w:rPr>
        <w:t>，</w:t>
      </w:r>
      <w:r>
        <w:rPr>
          <w:color w:val="070707"/>
        </w:rPr>
        <w:t>同比增长</w:t>
      </w:r>
      <w:r>
        <w:rPr>
          <w:color w:val="070707"/>
        </w:rPr>
        <w:t>12.6%</w:t>
      </w:r>
      <w:r>
        <w:rPr>
          <w:color w:val="000000" w:themeColor="text1"/>
          <w:szCs w:val="21"/>
        </w:rPr>
        <w:t>。</w:t>
      </w:r>
    </w:p>
    <w:p w14:paraId="76E400A9" w14:textId="77777777" w:rsidR="008810A2" w:rsidRDefault="00D921E0" w:rsidP="002B0D05">
      <w:pPr>
        <w:pStyle w:val="a4"/>
      </w:pPr>
      <w:r>
        <w:rPr>
          <w:noProof/>
        </w:rPr>
        <w:drawing>
          <wp:inline distT="0" distB="0" distL="0" distR="0" wp14:anchorId="24D26581" wp14:editId="368CC76D">
            <wp:extent cx="4655820" cy="2514600"/>
            <wp:effectExtent l="0" t="0" r="1143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FA5420" w14:textId="22401DBD"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9</w:t>
      </w:r>
      <w:r>
        <w:fldChar w:fldCharType="end"/>
      </w:r>
      <w:r>
        <w:t xml:space="preserve">  </w:t>
      </w:r>
      <w:r>
        <w:t>移动互联网接入流量</w:t>
      </w:r>
    </w:p>
    <w:p w14:paraId="557A057F" w14:textId="77777777" w:rsidR="008810A2" w:rsidRDefault="00D921E0">
      <w:pPr>
        <w:keepLines/>
        <w:numPr>
          <w:ilvl w:val="0"/>
          <w:numId w:val="5"/>
        </w:numPr>
        <w:topLinePunct/>
        <w:snapToGrid w:val="0"/>
        <w:spacing w:before="320" w:after="200"/>
        <w:ind w:firstLineChars="0"/>
        <w:outlineLvl w:val="2"/>
        <w:rPr>
          <w:rFonts w:eastAsia="楷体_GB2312"/>
          <w:color w:val="000000" w:themeColor="text1"/>
          <w:sz w:val="30"/>
          <w:szCs w:val="30"/>
        </w:rPr>
      </w:pPr>
      <w:bookmarkStart w:id="175" w:name="_Toc175065698"/>
      <w:bookmarkStart w:id="176" w:name="_Toc25708"/>
      <w:r>
        <w:rPr>
          <w:rFonts w:eastAsia="楷体_GB2312"/>
          <w:color w:val="000000" w:themeColor="text1"/>
          <w:sz w:val="30"/>
          <w:szCs w:val="30"/>
        </w:rPr>
        <w:t>上网时长</w:t>
      </w:r>
      <w:bookmarkEnd w:id="175"/>
      <w:bookmarkEnd w:id="176"/>
    </w:p>
    <w:p w14:paraId="4531C9FB" w14:textId="77777777" w:rsidR="008810A2" w:rsidRDefault="00D921E0">
      <w:pPr>
        <w:pStyle w:val="afff0"/>
        <w:keepNext/>
        <w:keepLines/>
        <w:numPr>
          <w:ilvl w:val="0"/>
          <w:numId w:val="6"/>
        </w:numPr>
        <w:spacing w:before="280" w:after="290" w:line="376" w:lineRule="auto"/>
        <w:ind w:firstLineChars="0"/>
        <w:outlineLvl w:val="3"/>
        <w:rPr>
          <w:rFonts w:ascii="timesnewroman" w:hAnsi="timesnewroman"/>
          <w:b/>
          <w:sz w:val="24"/>
          <w:szCs w:val="30"/>
          <w:lang w:val="zh-CN"/>
        </w:rPr>
      </w:pPr>
      <w:proofErr w:type="gramStart"/>
      <w:r>
        <w:rPr>
          <w:rFonts w:ascii="timesnewroman" w:hAnsi="timesnewroman" w:hint="eastAsia"/>
          <w:b/>
          <w:sz w:val="24"/>
          <w:szCs w:val="30"/>
          <w:lang w:val="zh-CN"/>
        </w:rPr>
        <w:t>网民人均</w:t>
      </w:r>
      <w:proofErr w:type="gramEnd"/>
      <w:r>
        <w:rPr>
          <w:rFonts w:ascii="timesnewroman" w:hAnsi="timesnewroman" w:hint="eastAsia"/>
          <w:b/>
          <w:sz w:val="24"/>
          <w:szCs w:val="30"/>
          <w:lang w:val="zh-CN"/>
        </w:rPr>
        <w:t>每</w:t>
      </w:r>
      <w:r>
        <w:rPr>
          <w:rFonts w:ascii="timesnewroman" w:hAnsi="timesnewroman"/>
          <w:b/>
          <w:sz w:val="24"/>
          <w:szCs w:val="30"/>
          <w:lang w:val="zh-CN"/>
        </w:rPr>
        <w:t>周</w:t>
      </w:r>
      <w:r>
        <w:rPr>
          <w:rFonts w:ascii="timesnewroman" w:hAnsi="timesnewroman" w:hint="eastAsia"/>
          <w:b/>
          <w:sz w:val="24"/>
          <w:szCs w:val="30"/>
          <w:lang w:val="zh-CN"/>
        </w:rPr>
        <w:t>上网</w:t>
      </w:r>
      <w:r>
        <w:rPr>
          <w:rFonts w:ascii="timesnewroman" w:hAnsi="timesnewroman"/>
          <w:b/>
          <w:sz w:val="24"/>
          <w:szCs w:val="30"/>
          <w:lang w:val="zh-CN"/>
        </w:rPr>
        <w:t>时长</w:t>
      </w:r>
    </w:p>
    <w:p w14:paraId="221E6ACB" w14:textId="77777777" w:rsidR="008810A2" w:rsidRDefault="00D921E0">
      <w:pPr>
        <w:ind w:firstLine="420"/>
        <w:rPr>
          <w:color w:val="000000" w:themeColor="text1"/>
        </w:rPr>
      </w:pPr>
      <w:r>
        <w:rPr>
          <w:color w:val="000000" w:themeColor="text1"/>
        </w:rPr>
        <w:t>截至</w:t>
      </w:r>
      <w:r>
        <w:rPr>
          <w:color w:val="000000" w:themeColor="text1"/>
        </w:rPr>
        <w:t>2024</w:t>
      </w:r>
      <w:r>
        <w:rPr>
          <w:color w:val="000000" w:themeColor="text1"/>
        </w:rPr>
        <w:t>年</w:t>
      </w:r>
      <w:r>
        <w:rPr>
          <w:color w:val="000000" w:themeColor="text1"/>
        </w:rPr>
        <w:t>6</w:t>
      </w:r>
      <w:r>
        <w:rPr>
          <w:color w:val="000000" w:themeColor="text1"/>
        </w:rPr>
        <w:t>月，我国网民的人均每周上网时长</w:t>
      </w:r>
      <w:r>
        <w:rPr>
          <w:color w:val="000000" w:themeColor="text1"/>
          <w:vertAlign w:val="superscript"/>
        </w:rPr>
        <w:footnoteReference w:id="14"/>
      </w:r>
      <w:r>
        <w:rPr>
          <w:color w:val="000000" w:themeColor="text1"/>
        </w:rPr>
        <w:t>为</w:t>
      </w:r>
      <w:r>
        <w:rPr>
          <w:color w:val="000000" w:themeColor="text1"/>
        </w:rPr>
        <w:t>29.0</w:t>
      </w:r>
      <w:r>
        <w:rPr>
          <w:color w:val="000000" w:themeColor="text1"/>
        </w:rPr>
        <w:t>个小时，较</w:t>
      </w:r>
      <w:r>
        <w:rPr>
          <w:color w:val="000000" w:themeColor="text1"/>
        </w:rPr>
        <w:t>2023</w:t>
      </w:r>
      <w:r>
        <w:rPr>
          <w:color w:val="000000" w:themeColor="text1"/>
        </w:rPr>
        <w:t>年</w:t>
      </w:r>
      <w:r>
        <w:rPr>
          <w:color w:val="000000" w:themeColor="text1"/>
        </w:rPr>
        <w:t>12</w:t>
      </w:r>
      <w:r>
        <w:rPr>
          <w:color w:val="000000" w:themeColor="text1"/>
        </w:rPr>
        <w:t>月提升</w:t>
      </w:r>
      <w:r>
        <w:rPr>
          <w:color w:val="000000" w:themeColor="text1"/>
        </w:rPr>
        <w:t>2.9</w:t>
      </w:r>
      <w:r>
        <w:rPr>
          <w:color w:val="000000" w:themeColor="text1"/>
        </w:rPr>
        <w:t>个小时。</w:t>
      </w:r>
    </w:p>
    <w:p w14:paraId="03F3A19A" w14:textId="77777777" w:rsidR="008810A2" w:rsidRDefault="00D921E0" w:rsidP="002B0D05">
      <w:pPr>
        <w:pStyle w:val="a4"/>
        <w:rPr>
          <w:rFonts w:eastAsia="宋体"/>
        </w:rPr>
      </w:pPr>
      <w:r>
        <w:rPr>
          <w:noProof/>
        </w:rPr>
        <w:lastRenderedPageBreak/>
        <w:drawing>
          <wp:inline distT="0" distB="0" distL="0" distR="0" wp14:anchorId="51CB77F7" wp14:editId="05C610A2">
            <wp:extent cx="4602480" cy="2575560"/>
            <wp:effectExtent l="0" t="0" r="7620" b="15240"/>
            <wp:docPr id="2037127422" name="图表 2037127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48B38BC" w14:textId="6C2144CC"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10</w:t>
      </w:r>
      <w:r>
        <w:fldChar w:fldCharType="end"/>
      </w:r>
      <w:r>
        <w:t xml:space="preserve">  </w:t>
      </w:r>
      <w:proofErr w:type="gramStart"/>
      <w:r>
        <w:t>网民人均</w:t>
      </w:r>
      <w:proofErr w:type="gramEnd"/>
      <w:r>
        <w:t>每周上网时长</w:t>
      </w:r>
    </w:p>
    <w:p w14:paraId="5C0C4914" w14:textId="77777777" w:rsidR="008810A2" w:rsidRDefault="00D921E0">
      <w:pPr>
        <w:pStyle w:val="afff0"/>
        <w:keepNext/>
        <w:keepLines/>
        <w:numPr>
          <w:ilvl w:val="0"/>
          <w:numId w:val="6"/>
        </w:numPr>
        <w:spacing w:before="280" w:after="290" w:line="376" w:lineRule="auto"/>
        <w:ind w:firstLineChars="0"/>
        <w:outlineLvl w:val="3"/>
        <w:rPr>
          <w:rFonts w:ascii="timesnewroman" w:hAnsi="timesnewroman"/>
          <w:b/>
          <w:sz w:val="24"/>
          <w:szCs w:val="30"/>
          <w:lang w:val="zh-CN"/>
        </w:rPr>
      </w:pPr>
      <w:r>
        <w:rPr>
          <w:rFonts w:ascii="timesnewroman" w:hAnsi="timesnewroman" w:hint="eastAsia"/>
          <w:b/>
          <w:sz w:val="24"/>
          <w:szCs w:val="30"/>
          <w:lang w:val="zh-CN"/>
        </w:rPr>
        <w:t>各类</w:t>
      </w:r>
      <w:r>
        <w:rPr>
          <w:rFonts w:ascii="timesnewroman" w:hAnsi="timesnewroman"/>
          <w:b/>
          <w:sz w:val="24"/>
          <w:szCs w:val="30"/>
          <w:lang w:val="zh-CN"/>
        </w:rPr>
        <w:t>应用使用时段分布</w:t>
      </w:r>
    </w:p>
    <w:p w14:paraId="5E5C7ABA" w14:textId="77777777" w:rsidR="008810A2" w:rsidRDefault="00D921E0">
      <w:pPr>
        <w:spacing w:beforeLines="50" w:before="156"/>
        <w:ind w:firstLine="420"/>
        <w:rPr>
          <w:rFonts w:eastAsiaTheme="minorEastAsia"/>
          <w:szCs w:val="22"/>
        </w:rPr>
      </w:pPr>
      <w:r>
        <w:rPr>
          <w:rFonts w:eastAsiaTheme="minorEastAsia"/>
          <w:szCs w:val="22"/>
        </w:rPr>
        <w:t>20</w:t>
      </w:r>
      <w:r>
        <w:rPr>
          <w:rFonts w:eastAsiaTheme="minorEastAsia" w:hint="eastAsia"/>
          <w:szCs w:val="22"/>
        </w:rPr>
        <w:t>24</w:t>
      </w:r>
      <w:r>
        <w:rPr>
          <w:rFonts w:eastAsiaTheme="minorEastAsia"/>
          <w:szCs w:val="22"/>
        </w:rPr>
        <w:t>年</w:t>
      </w:r>
      <w:r>
        <w:rPr>
          <w:rFonts w:eastAsiaTheme="minorEastAsia" w:hint="eastAsia"/>
          <w:szCs w:val="22"/>
        </w:rPr>
        <w:t>6</w:t>
      </w:r>
      <w:r>
        <w:rPr>
          <w:rFonts w:eastAsiaTheme="minorEastAsia" w:hint="eastAsia"/>
          <w:szCs w:val="22"/>
        </w:rPr>
        <w:t>月</w:t>
      </w:r>
      <w:r>
        <w:rPr>
          <w:rFonts w:eastAsiaTheme="minorEastAsia"/>
          <w:szCs w:val="22"/>
        </w:rPr>
        <w:t>，</w:t>
      </w:r>
      <w:r>
        <w:rPr>
          <w:rFonts w:eastAsiaTheme="minorEastAsia" w:hint="eastAsia"/>
          <w:szCs w:val="22"/>
        </w:rPr>
        <w:t>手机</w:t>
      </w:r>
      <w:r>
        <w:rPr>
          <w:rFonts w:eastAsiaTheme="minorEastAsia"/>
          <w:szCs w:val="22"/>
        </w:rPr>
        <w:t>网民</w:t>
      </w:r>
      <w:r>
        <w:rPr>
          <w:rFonts w:eastAsiaTheme="minorEastAsia" w:hint="eastAsia"/>
          <w:szCs w:val="22"/>
        </w:rPr>
        <w:t>较</w:t>
      </w:r>
      <w:r>
        <w:rPr>
          <w:rFonts w:eastAsiaTheme="minorEastAsia"/>
          <w:szCs w:val="22"/>
        </w:rPr>
        <w:t>常使用的</w:t>
      </w:r>
      <w:r>
        <w:rPr>
          <w:rFonts w:eastAsiaTheme="minorEastAsia" w:hint="eastAsia"/>
          <w:szCs w:val="22"/>
        </w:rPr>
        <w:t>五</w:t>
      </w:r>
      <w:r>
        <w:rPr>
          <w:rFonts w:eastAsiaTheme="minorEastAsia"/>
          <w:szCs w:val="22"/>
        </w:rPr>
        <w:t>类</w:t>
      </w:r>
      <w:r>
        <w:rPr>
          <w:rFonts w:hint="eastAsia"/>
        </w:rPr>
        <w:t>App</w:t>
      </w:r>
      <w:r>
        <w:rPr>
          <w:rFonts w:eastAsiaTheme="minorEastAsia"/>
          <w:szCs w:val="22"/>
        </w:rPr>
        <w:t>中，</w:t>
      </w:r>
      <w:r>
        <w:rPr>
          <w:rFonts w:eastAsiaTheme="minorEastAsia" w:hint="eastAsia"/>
          <w:szCs w:val="22"/>
        </w:rPr>
        <w:t>即时通信类</w:t>
      </w:r>
      <w:r>
        <w:rPr>
          <w:rFonts w:hint="eastAsia"/>
        </w:rPr>
        <w:t>App</w:t>
      </w:r>
      <w:r>
        <w:rPr>
          <w:rFonts w:eastAsiaTheme="minorEastAsia" w:hint="eastAsia"/>
          <w:szCs w:val="22"/>
        </w:rPr>
        <w:t>在</w:t>
      </w:r>
      <w:r>
        <w:rPr>
          <w:rFonts w:eastAsiaTheme="minorEastAsia"/>
          <w:szCs w:val="22"/>
        </w:rPr>
        <w:t>9</w:t>
      </w:r>
      <w:r>
        <w:rPr>
          <w:rFonts w:eastAsiaTheme="minorEastAsia" w:hint="eastAsia"/>
          <w:szCs w:val="22"/>
        </w:rPr>
        <w:t>点至</w:t>
      </w:r>
      <w:r>
        <w:rPr>
          <w:rFonts w:eastAsiaTheme="minorEastAsia" w:hint="eastAsia"/>
          <w:szCs w:val="22"/>
        </w:rPr>
        <w:t>2</w:t>
      </w:r>
      <w:r>
        <w:rPr>
          <w:rFonts w:eastAsiaTheme="minorEastAsia"/>
          <w:szCs w:val="22"/>
        </w:rPr>
        <w:t>0</w:t>
      </w:r>
      <w:r>
        <w:rPr>
          <w:rFonts w:eastAsiaTheme="minorEastAsia" w:hint="eastAsia"/>
          <w:szCs w:val="22"/>
        </w:rPr>
        <w:t>点</w:t>
      </w:r>
      <w:proofErr w:type="gramStart"/>
      <w:r>
        <w:rPr>
          <w:rFonts w:eastAsiaTheme="minorEastAsia" w:hint="eastAsia"/>
          <w:szCs w:val="22"/>
        </w:rPr>
        <w:t>间用户</w:t>
      </w:r>
      <w:proofErr w:type="gramEnd"/>
      <w:r>
        <w:rPr>
          <w:rFonts w:eastAsiaTheme="minorEastAsia" w:hint="eastAsia"/>
          <w:szCs w:val="22"/>
        </w:rPr>
        <w:t>使用时段分布较为均匀，</w:t>
      </w:r>
      <w:r>
        <w:rPr>
          <w:rFonts w:eastAsiaTheme="minorEastAsia"/>
          <w:szCs w:val="22"/>
        </w:rPr>
        <w:t>占比均在</w:t>
      </w:r>
      <w:r>
        <w:rPr>
          <w:rFonts w:eastAsiaTheme="minorEastAsia" w:hint="eastAsia"/>
          <w:szCs w:val="22"/>
        </w:rPr>
        <w:t>5</w:t>
      </w:r>
      <w:r>
        <w:rPr>
          <w:rFonts w:eastAsiaTheme="minorEastAsia"/>
          <w:szCs w:val="22"/>
        </w:rPr>
        <w:t>%</w:t>
      </w:r>
      <w:r>
        <w:rPr>
          <w:rFonts w:eastAsiaTheme="minorEastAsia"/>
          <w:szCs w:val="22"/>
        </w:rPr>
        <w:t>以上</w:t>
      </w:r>
      <w:r>
        <w:rPr>
          <w:rFonts w:eastAsiaTheme="minorEastAsia" w:hint="eastAsia"/>
          <w:szCs w:val="22"/>
        </w:rPr>
        <w:t>；网络视频类</w:t>
      </w:r>
      <w:r>
        <w:rPr>
          <w:rFonts w:hint="eastAsia"/>
        </w:rPr>
        <w:t>App</w:t>
      </w:r>
      <w:r>
        <w:rPr>
          <w:rFonts w:eastAsiaTheme="minorEastAsia" w:hint="eastAsia"/>
          <w:szCs w:val="22"/>
        </w:rPr>
        <w:t>在</w:t>
      </w:r>
      <w:r>
        <w:rPr>
          <w:rFonts w:eastAsiaTheme="minorEastAsia" w:hint="eastAsia"/>
          <w:szCs w:val="22"/>
        </w:rPr>
        <w:t>12</w:t>
      </w:r>
      <w:r>
        <w:rPr>
          <w:rFonts w:eastAsiaTheme="minorEastAsia" w:hint="eastAsia"/>
          <w:szCs w:val="22"/>
        </w:rPr>
        <w:t>点、</w:t>
      </w:r>
      <w:r>
        <w:rPr>
          <w:rFonts w:eastAsiaTheme="minorEastAsia"/>
          <w:szCs w:val="22"/>
        </w:rPr>
        <w:t>2</w:t>
      </w:r>
      <w:r>
        <w:rPr>
          <w:rFonts w:eastAsiaTheme="minorEastAsia" w:hint="eastAsia"/>
          <w:szCs w:val="22"/>
        </w:rPr>
        <w:t>0</w:t>
      </w:r>
      <w:r>
        <w:rPr>
          <w:rFonts w:eastAsiaTheme="minorEastAsia" w:hint="eastAsia"/>
          <w:szCs w:val="22"/>
        </w:rPr>
        <w:t>点分别出现两次使用小高峰，符合大部分</w:t>
      </w:r>
      <w:r>
        <w:rPr>
          <w:rFonts w:eastAsiaTheme="minorEastAsia"/>
          <w:szCs w:val="22"/>
        </w:rPr>
        <w:t>网民</w:t>
      </w:r>
      <w:r>
        <w:rPr>
          <w:rFonts w:eastAsiaTheme="minorEastAsia" w:hint="eastAsia"/>
          <w:szCs w:val="22"/>
        </w:rPr>
        <w:t>闲暇</w:t>
      </w:r>
      <w:r>
        <w:rPr>
          <w:rFonts w:eastAsiaTheme="minorEastAsia"/>
          <w:szCs w:val="22"/>
        </w:rPr>
        <w:t>娱乐</w:t>
      </w:r>
      <w:r>
        <w:rPr>
          <w:rFonts w:eastAsiaTheme="minorEastAsia" w:hint="eastAsia"/>
          <w:szCs w:val="22"/>
        </w:rPr>
        <w:t>时间规律；网络购物类、网络支付类</w:t>
      </w:r>
      <w:r>
        <w:rPr>
          <w:rFonts w:hint="eastAsia"/>
        </w:rPr>
        <w:t>App</w:t>
      </w:r>
      <w:r>
        <w:rPr>
          <w:rFonts w:eastAsiaTheme="minorEastAsia" w:hint="eastAsia"/>
          <w:szCs w:val="22"/>
        </w:rPr>
        <w:t>的用户使用时段分布趋势</w:t>
      </w:r>
      <w:r>
        <w:rPr>
          <w:rFonts w:eastAsiaTheme="minorEastAsia"/>
          <w:szCs w:val="22"/>
        </w:rPr>
        <w:t>较为接近，</w:t>
      </w:r>
      <w:r>
        <w:rPr>
          <w:rFonts w:eastAsiaTheme="minorEastAsia" w:hint="eastAsia"/>
          <w:szCs w:val="22"/>
        </w:rPr>
        <w:t>7</w:t>
      </w:r>
      <w:r>
        <w:rPr>
          <w:rFonts w:eastAsiaTheme="minorEastAsia" w:hint="eastAsia"/>
          <w:szCs w:val="22"/>
        </w:rPr>
        <w:t>点</w:t>
      </w:r>
      <w:r>
        <w:rPr>
          <w:rFonts w:eastAsiaTheme="minorEastAsia"/>
          <w:szCs w:val="22"/>
        </w:rPr>
        <w:t>到</w:t>
      </w:r>
      <w:r>
        <w:rPr>
          <w:rFonts w:eastAsiaTheme="minorEastAsia" w:hint="eastAsia"/>
          <w:szCs w:val="22"/>
        </w:rPr>
        <w:t>22</w:t>
      </w:r>
      <w:r>
        <w:rPr>
          <w:rFonts w:eastAsiaTheme="minorEastAsia" w:hint="eastAsia"/>
          <w:szCs w:val="22"/>
        </w:rPr>
        <w:t>点间使用</w:t>
      </w:r>
      <w:r>
        <w:rPr>
          <w:rFonts w:eastAsiaTheme="minorEastAsia"/>
          <w:szCs w:val="22"/>
        </w:rPr>
        <w:t>时长</w:t>
      </w:r>
      <w:r>
        <w:rPr>
          <w:rFonts w:eastAsiaTheme="minorEastAsia" w:hint="eastAsia"/>
          <w:szCs w:val="22"/>
        </w:rPr>
        <w:t>合计占比超过</w:t>
      </w:r>
      <w:r>
        <w:rPr>
          <w:rFonts w:eastAsiaTheme="minorEastAsia" w:hint="eastAsia"/>
          <w:szCs w:val="22"/>
        </w:rPr>
        <w:t>80</w:t>
      </w:r>
      <w:r>
        <w:rPr>
          <w:rFonts w:eastAsiaTheme="minorEastAsia"/>
          <w:szCs w:val="22"/>
        </w:rPr>
        <w:t>%</w:t>
      </w:r>
      <w:r>
        <w:rPr>
          <w:rFonts w:eastAsiaTheme="minorEastAsia" w:hint="eastAsia"/>
          <w:szCs w:val="22"/>
        </w:rPr>
        <w:t>；网上外卖类</w:t>
      </w:r>
      <w:r>
        <w:rPr>
          <w:rFonts w:hint="eastAsia"/>
        </w:rPr>
        <w:t>App</w:t>
      </w:r>
      <w:r>
        <w:rPr>
          <w:rFonts w:eastAsiaTheme="minorEastAsia" w:hint="eastAsia"/>
          <w:szCs w:val="22"/>
        </w:rPr>
        <w:t>使用时段分布峰值明显，与网民用餐时间关联度很高，分别在</w:t>
      </w:r>
      <w:r>
        <w:rPr>
          <w:rFonts w:eastAsiaTheme="minorEastAsia" w:hint="eastAsia"/>
          <w:szCs w:val="22"/>
        </w:rPr>
        <w:t>1</w:t>
      </w:r>
      <w:r>
        <w:rPr>
          <w:rFonts w:eastAsiaTheme="minorEastAsia"/>
          <w:szCs w:val="22"/>
        </w:rPr>
        <w:t>1</w:t>
      </w:r>
      <w:r>
        <w:rPr>
          <w:rFonts w:eastAsiaTheme="minorEastAsia" w:hint="eastAsia"/>
          <w:szCs w:val="22"/>
        </w:rPr>
        <w:t>点及</w:t>
      </w:r>
      <w:r>
        <w:rPr>
          <w:rFonts w:eastAsiaTheme="minorEastAsia" w:hint="eastAsia"/>
          <w:szCs w:val="22"/>
        </w:rPr>
        <w:t>18</w:t>
      </w:r>
      <w:r>
        <w:rPr>
          <w:rFonts w:eastAsiaTheme="minorEastAsia" w:hint="eastAsia"/>
          <w:szCs w:val="22"/>
        </w:rPr>
        <w:t>点出现使用峰值。</w:t>
      </w:r>
    </w:p>
    <w:p w14:paraId="1CDD1215" w14:textId="77777777" w:rsidR="008810A2" w:rsidRDefault="007756ED">
      <w:pPr>
        <w:pStyle w:val="afff4"/>
        <w:spacing w:before="156"/>
      </w:pPr>
      <w:r>
        <w:rPr>
          <w:noProof/>
        </w:rPr>
        <w:lastRenderedPageBreak/>
        <w:drawing>
          <wp:inline distT="0" distB="0" distL="0" distR="0" wp14:anchorId="1A78B86C" wp14:editId="4B510FAC">
            <wp:extent cx="5750560" cy="3486785"/>
            <wp:effectExtent l="0" t="0" r="2540" b="18415"/>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0B614E" w14:textId="7C129B6B"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11</w:t>
      </w:r>
      <w:r>
        <w:fldChar w:fldCharType="end"/>
      </w:r>
      <w:r>
        <w:t xml:space="preserve">  </w:t>
      </w:r>
      <w:r>
        <w:t>五类应用使用时段分布</w:t>
      </w:r>
      <w:r>
        <w:rPr>
          <w:rStyle w:val="affe"/>
        </w:rPr>
        <w:footnoteReference w:id="15"/>
      </w:r>
    </w:p>
    <w:p w14:paraId="17A0D796" w14:textId="77777777" w:rsidR="008810A2" w:rsidRDefault="00D921E0">
      <w:pPr>
        <w:widowControl/>
        <w:spacing w:line="240" w:lineRule="auto"/>
        <w:ind w:firstLineChars="0" w:firstLine="0"/>
        <w:jc w:val="left"/>
        <w:rPr>
          <w:rFonts w:eastAsia="仿宋_GB2312"/>
          <w:b/>
          <w:color w:val="000000" w:themeColor="text1"/>
          <w:sz w:val="52"/>
          <w:szCs w:val="52"/>
        </w:rPr>
      </w:pPr>
      <w:r>
        <w:rPr>
          <w:rFonts w:eastAsiaTheme="minorEastAsia"/>
        </w:rPr>
        <w:br w:type="page"/>
      </w:r>
      <w:bookmarkStart w:id="177" w:name="_Toc175065699"/>
      <w:bookmarkStart w:id="178" w:name="_Toc20639"/>
      <w:bookmarkStart w:id="179" w:name="_Toc78288078"/>
      <w:bookmarkStart w:id="180" w:name="_Toc128662638"/>
      <w:bookmarkStart w:id="181" w:name="_Toc23005"/>
      <w:bookmarkStart w:id="182" w:name="_Toc15374"/>
      <w:bookmarkStart w:id="183" w:name="_Toc6800"/>
      <w:bookmarkStart w:id="184" w:name="_Toc95747598"/>
      <w:bookmarkStart w:id="185" w:name="_Toc14341"/>
      <w:bookmarkEnd w:id="137"/>
      <w:bookmarkEnd w:id="138"/>
    </w:p>
    <w:p w14:paraId="107B5EB3" w14:textId="77777777" w:rsidR="008810A2" w:rsidRDefault="00D921E0">
      <w:pPr>
        <w:pStyle w:val="1"/>
        <w:numPr>
          <w:ilvl w:val="0"/>
          <w:numId w:val="2"/>
        </w:numPr>
        <w:tabs>
          <w:tab w:val="left" w:pos="420"/>
        </w:tabs>
        <w:spacing w:before="120" w:after="600" w:line="312" w:lineRule="auto"/>
        <w:ind w:left="0" w:firstLineChars="0" w:firstLine="0"/>
        <w:rPr>
          <w:rFonts w:eastAsia="仿宋_GB2312"/>
          <w:b/>
          <w:color w:val="000000" w:themeColor="text1"/>
          <w:sz w:val="52"/>
          <w:szCs w:val="52"/>
        </w:rPr>
      </w:pPr>
      <w:r>
        <w:rPr>
          <w:rFonts w:eastAsia="仿宋_GB2312" w:hint="eastAsia"/>
          <w:b/>
          <w:color w:val="000000" w:themeColor="text1"/>
          <w:sz w:val="52"/>
          <w:szCs w:val="52"/>
        </w:rPr>
        <w:lastRenderedPageBreak/>
        <w:t xml:space="preserve"> </w:t>
      </w:r>
      <w:r>
        <w:rPr>
          <w:rFonts w:eastAsia="仿宋_GB2312"/>
          <w:b/>
          <w:color w:val="000000" w:themeColor="text1"/>
          <w:sz w:val="52"/>
          <w:szCs w:val="52"/>
        </w:rPr>
        <w:t>网民规模及结构状况</w:t>
      </w:r>
      <w:bookmarkEnd w:id="177"/>
    </w:p>
    <w:p w14:paraId="67ECBE42" w14:textId="6854C7D2" w:rsidR="008810A2" w:rsidRDefault="00D921E0">
      <w:pPr>
        <w:ind w:firstLineChars="0" w:firstLine="420"/>
        <w:rPr>
          <w:color w:val="000000" w:themeColor="text1"/>
        </w:rPr>
      </w:pPr>
      <w:r>
        <w:rPr>
          <w:rFonts w:hint="eastAsia"/>
          <w:color w:val="000000" w:themeColor="text1"/>
        </w:rPr>
        <w:t>2024</w:t>
      </w:r>
      <w:r>
        <w:rPr>
          <w:rFonts w:hint="eastAsia"/>
          <w:color w:val="000000" w:themeColor="text1"/>
        </w:rPr>
        <w:t>年上半年，我国网民规模</w:t>
      </w:r>
      <w:r w:rsidR="008E7EA3" w:rsidRPr="008E7EA3">
        <w:rPr>
          <w:rFonts w:hint="eastAsia"/>
          <w:color w:val="000000" w:themeColor="text1"/>
        </w:rPr>
        <w:t>近</w:t>
      </w:r>
      <w:r w:rsidR="008E7EA3" w:rsidRPr="008E7EA3">
        <w:rPr>
          <w:rFonts w:hint="eastAsia"/>
          <w:color w:val="000000" w:themeColor="text1"/>
        </w:rPr>
        <w:t>11</w:t>
      </w:r>
      <w:r w:rsidR="008E7EA3" w:rsidRPr="008E7EA3">
        <w:rPr>
          <w:rFonts w:hint="eastAsia"/>
          <w:color w:val="000000" w:themeColor="text1"/>
        </w:rPr>
        <w:t>亿人（</w:t>
      </w:r>
      <w:r w:rsidR="008E7EA3" w:rsidRPr="008E7EA3">
        <w:rPr>
          <w:rFonts w:hint="eastAsia"/>
          <w:color w:val="000000" w:themeColor="text1"/>
        </w:rPr>
        <w:t>10.9967</w:t>
      </w:r>
      <w:r w:rsidR="008E7EA3" w:rsidRPr="008E7EA3">
        <w:rPr>
          <w:rFonts w:hint="eastAsia"/>
          <w:color w:val="000000" w:themeColor="text1"/>
        </w:rPr>
        <w:t>亿人）</w:t>
      </w:r>
      <w:r>
        <w:rPr>
          <w:rFonts w:hint="eastAsia"/>
          <w:color w:val="000000" w:themeColor="text1"/>
        </w:rPr>
        <w:t>，新增网民</w:t>
      </w:r>
      <w:r>
        <w:rPr>
          <w:rFonts w:hint="eastAsia"/>
          <w:color w:val="000000" w:themeColor="text1"/>
        </w:rPr>
        <w:t>742</w:t>
      </w:r>
      <w:r>
        <w:rPr>
          <w:rFonts w:hint="eastAsia"/>
          <w:color w:val="000000" w:themeColor="text1"/>
        </w:rPr>
        <w:t>万人，互联网普及率达</w:t>
      </w:r>
      <w:r>
        <w:rPr>
          <w:rFonts w:hint="eastAsia"/>
          <w:color w:val="000000" w:themeColor="text1"/>
        </w:rPr>
        <w:t>78.0%</w:t>
      </w:r>
      <w:r>
        <w:rPr>
          <w:rFonts w:hint="eastAsia"/>
          <w:color w:val="000000" w:themeColor="text1"/>
        </w:rPr>
        <w:t>。随着我国网络环境持续改善，数字向农、数字助老、数字惠民等常态化举措推动更多人群接入互联网，共享数字时代便捷和红利。</w:t>
      </w:r>
    </w:p>
    <w:p w14:paraId="004BE3E4" w14:textId="77777777" w:rsidR="008810A2" w:rsidRDefault="00D921E0">
      <w:pPr>
        <w:keepNext/>
        <w:keepLines/>
        <w:numPr>
          <w:ilvl w:val="0"/>
          <w:numId w:val="7"/>
        </w:numPr>
        <w:topLinePunct/>
        <w:snapToGrid w:val="0"/>
        <w:spacing w:before="400" w:after="300" w:line="312" w:lineRule="auto"/>
        <w:ind w:firstLineChars="0"/>
        <w:outlineLvl w:val="1"/>
        <w:rPr>
          <w:rFonts w:eastAsia="黑体"/>
          <w:color w:val="000000" w:themeColor="text1"/>
          <w:sz w:val="36"/>
          <w:szCs w:val="36"/>
        </w:rPr>
      </w:pPr>
      <w:bookmarkStart w:id="186" w:name="_Toc175065700"/>
      <w:r>
        <w:rPr>
          <w:rFonts w:eastAsia="黑体"/>
          <w:color w:val="000000" w:themeColor="text1"/>
          <w:sz w:val="36"/>
          <w:szCs w:val="36"/>
        </w:rPr>
        <w:t>网民规模</w:t>
      </w:r>
      <w:bookmarkEnd w:id="186"/>
    </w:p>
    <w:p w14:paraId="7A72433E" w14:textId="77777777" w:rsidR="008810A2" w:rsidRDefault="00D921E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187" w:name="_Toc175065701"/>
      <w:r>
        <w:rPr>
          <w:rFonts w:eastAsia="楷体_GB2312"/>
          <w:color w:val="000000" w:themeColor="text1"/>
          <w:sz w:val="30"/>
          <w:szCs w:val="30"/>
        </w:rPr>
        <w:t>总体网民规模</w:t>
      </w:r>
      <w:bookmarkEnd w:id="187"/>
    </w:p>
    <w:p w14:paraId="0C8AA22E" w14:textId="77777777" w:rsidR="008810A2" w:rsidRDefault="00D921E0">
      <w:pPr>
        <w:ind w:firstLineChars="0" w:firstLine="420"/>
        <w:rPr>
          <w:color w:val="000000" w:themeColor="text1"/>
        </w:rPr>
      </w:pPr>
      <w:r>
        <w:rPr>
          <w:color w:val="000000" w:themeColor="text1"/>
        </w:rPr>
        <w:t>截至</w:t>
      </w:r>
      <w:r>
        <w:rPr>
          <w:color w:val="000000" w:themeColor="text1"/>
        </w:rPr>
        <w:t>202</w:t>
      </w:r>
      <w:r>
        <w:rPr>
          <w:rFonts w:hint="eastAsia"/>
          <w:color w:val="000000" w:themeColor="text1"/>
        </w:rPr>
        <w:t>4</w:t>
      </w:r>
      <w:r>
        <w:rPr>
          <w:color w:val="000000" w:themeColor="text1"/>
        </w:rPr>
        <w:t>年</w:t>
      </w:r>
      <w:r>
        <w:rPr>
          <w:rFonts w:hint="eastAsia"/>
          <w:color w:val="000000" w:themeColor="text1"/>
        </w:rPr>
        <w:t>6</w:t>
      </w:r>
      <w:r>
        <w:rPr>
          <w:color w:val="000000" w:themeColor="text1"/>
        </w:rPr>
        <w:t>月，我国网民规模</w:t>
      </w:r>
      <w:r>
        <w:rPr>
          <w:rFonts w:hint="eastAsia"/>
          <w:color w:val="000000" w:themeColor="text1"/>
        </w:rPr>
        <w:t>近</w:t>
      </w:r>
      <w:r>
        <w:rPr>
          <w:color w:val="000000" w:themeColor="text1"/>
        </w:rPr>
        <w:t>1</w:t>
      </w:r>
      <w:r>
        <w:rPr>
          <w:rFonts w:hint="eastAsia"/>
          <w:color w:val="000000" w:themeColor="text1"/>
        </w:rPr>
        <w:t>1</w:t>
      </w:r>
      <w:r>
        <w:rPr>
          <w:color w:val="000000" w:themeColor="text1"/>
        </w:rPr>
        <w:t>亿人</w:t>
      </w:r>
      <w:r>
        <w:rPr>
          <w:rFonts w:hint="eastAsia"/>
          <w:color w:val="000000" w:themeColor="text1"/>
        </w:rPr>
        <w:t>（</w:t>
      </w:r>
      <w:r>
        <w:rPr>
          <w:rFonts w:hint="eastAsia"/>
          <w:color w:val="000000" w:themeColor="text1"/>
        </w:rPr>
        <w:t>10.9967</w:t>
      </w:r>
      <w:r>
        <w:rPr>
          <w:rFonts w:hint="eastAsia"/>
          <w:color w:val="000000" w:themeColor="text1"/>
        </w:rPr>
        <w:t>亿人）</w:t>
      </w:r>
      <w:r>
        <w:rPr>
          <w:color w:val="000000" w:themeColor="text1"/>
        </w:rPr>
        <w:t>，较</w:t>
      </w:r>
      <w:r>
        <w:rPr>
          <w:color w:val="000000" w:themeColor="text1"/>
        </w:rPr>
        <w:t>202</w:t>
      </w:r>
      <w:r>
        <w:rPr>
          <w:rFonts w:hint="eastAsia"/>
          <w:color w:val="000000" w:themeColor="text1"/>
        </w:rPr>
        <w:t>3</w:t>
      </w:r>
      <w:r>
        <w:rPr>
          <w:color w:val="000000" w:themeColor="text1"/>
        </w:rPr>
        <w:t>年</w:t>
      </w:r>
      <w:r>
        <w:rPr>
          <w:color w:val="000000" w:themeColor="text1"/>
        </w:rPr>
        <w:t>12</w:t>
      </w:r>
      <w:r>
        <w:rPr>
          <w:color w:val="000000" w:themeColor="text1"/>
        </w:rPr>
        <w:t>月增长</w:t>
      </w:r>
      <w:r>
        <w:rPr>
          <w:rFonts w:hint="eastAsia"/>
          <w:color w:val="000000" w:themeColor="text1"/>
        </w:rPr>
        <w:t>742</w:t>
      </w:r>
      <w:r>
        <w:rPr>
          <w:color w:val="000000" w:themeColor="text1"/>
        </w:rPr>
        <w:t>万人，互联网普及率达</w:t>
      </w:r>
      <w:r>
        <w:rPr>
          <w:rFonts w:hint="eastAsia"/>
          <w:color w:val="000000" w:themeColor="text1"/>
        </w:rPr>
        <w:t>78.0</w:t>
      </w:r>
      <w:r>
        <w:rPr>
          <w:color w:val="000000" w:themeColor="text1"/>
        </w:rPr>
        <w:t>%</w:t>
      </w:r>
      <w:r>
        <w:rPr>
          <w:color w:val="000000" w:themeColor="text1"/>
        </w:rPr>
        <w:t>，较</w:t>
      </w:r>
      <w:r>
        <w:rPr>
          <w:color w:val="000000" w:themeColor="text1"/>
        </w:rPr>
        <w:t>202</w:t>
      </w:r>
      <w:r>
        <w:rPr>
          <w:rFonts w:hint="eastAsia"/>
          <w:color w:val="000000" w:themeColor="text1"/>
        </w:rPr>
        <w:t>3</w:t>
      </w:r>
      <w:r>
        <w:rPr>
          <w:color w:val="000000" w:themeColor="text1"/>
        </w:rPr>
        <w:t>年</w:t>
      </w:r>
      <w:r>
        <w:rPr>
          <w:color w:val="000000" w:themeColor="text1"/>
        </w:rPr>
        <w:t>12</w:t>
      </w:r>
      <w:r>
        <w:rPr>
          <w:color w:val="000000" w:themeColor="text1"/>
        </w:rPr>
        <w:t>月提升</w:t>
      </w:r>
      <w:r>
        <w:rPr>
          <w:rFonts w:hint="eastAsia"/>
          <w:color w:val="000000" w:themeColor="text1"/>
        </w:rPr>
        <w:t>0.5</w:t>
      </w:r>
      <w:r>
        <w:rPr>
          <w:color w:val="000000" w:themeColor="text1"/>
        </w:rPr>
        <w:t>个百分点。</w:t>
      </w:r>
    </w:p>
    <w:p w14:paraId="3D7C7BEE" w14:textId="07BE12C2" w:rsidR="008810A2" w:rsidRDefault="00D921E0">
      <w:pPr>
        <w:tabs>
          <w:tab w:val="center" w:pos="4193"/>
          <w:tab w:val="left" w:pos="4951"/>
        </w:tabs>
        <w:ind w:firstLineChars="0" w:firstLine="0"/>
        <w:jc w:val="left"/>
      </w:pPr>
      <w:r>
        <w:rPr>
          <w:rFonts w:eastAsia="仿宋" w:hint="eastAsia"/>
          <w:sz w:val="24"/>
          <w:szCs w:val="20"/>
        </w:rPr>
        <w:tab/>
      </w:r>
      <w:r>
        <w:rPr>
          <w:rFonts w:eastAsia="仿宋"/>
          <w:noProof/>
          <w:sz w:val="24"/>
          <w:szCs w:val="20"/>
        </w:rPr>
        <w:drawing>
          <wp:inline distT="0" distB="0" distL="0" distR="0" wp14:anchorId="70FA90F5" wp14:editId="5797EEC7">
            <wp:extent cx="5067935" cy="2876550"/>
            <wp:effectExtent l="0" t="0" r="18415" b="0"/>
            <wp:docPr id="1008697462" name="图表 1008697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eastAsia="仿宋" w:hint="eastAsia"/>
          <w:sz w:val="24"/>
          <w:szCs w:val="20"/>
        </w:rPr>
        <w:tab/>
      </w: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12</w:t>
      </w:r>
      <w:r>
        <w:fldChar w:fldCharType="end"/>
      </w:r>
      <w:r>
        <w:t xml:space="preserve">  202</w:t>
      </w:r>
      <w:r>
        <w:rPr>
          <w:rFonts w:hint="eastAsia"/>
        </w:rPr>
        <w:t>2</w:t>
      </w:r>
      <w:r>
        <w:t>.</w:t>
      </w:r>
      <w:r>
        <w:rPr>
          <w:rFonts w:hint="eastAsia"/>
        </w:rPr>
        <w:t>6</w:t>
      </w:r>
      <w:r>
        <w:t>-202</w:t>
      </w:r>
      <w:r>
        <w:rPr>
          <w:rFonts w:hint="eastAsia"/>
        </w:rPr>
        <w:t>4</w:t>
      </w:r>
      <w:r>
        <w:t>.</w:t>
      </w:r>
      <w:r>
        <w:rPr>
          <w:rFonts w:hint="eastAsia"/>
        </w:rPr>
        <w:t>6</w:t>
      </w:r>
      <w:r>
        <w:t>网民规模和互联网普及率</w:t>
      </w:r>
    </w:p>
    <w:p w14:paraId="6BAB1C4B" w14:textId="77777777" w:rsidR="008810A2" w:rsidRDefault="00D921E0">
      <w:pPr>
        <w:ind w:firstLineChars="0" w:firstLine="420"/>
        <w:rPr>
          <w:color w:val="000000" w:themeColor="text1"/>
        </w:rPr>
      </w:pPr>
      <w:r>
        <w:rPr>
          <w:color w:val="000000" w:themeColor="text1"/>
        </w:rPr>
        <w:t>截至</w:t>
      </w:r>
      <w:r>
        <w:rPr>
          <w:color w:val="000000" w:themeColor="text1"/>
        </w:rPr>
        <w:t>202</w:t>
      </w:r>
      <w:r>
        <w:rPr>
          <w:rFonts w:hint="eastAsia"/>
          <w:color w:val="000000" w:themeColor="text1"/>
        </w:rPr>
        <w:t>4</w:t>
      </w:r>
      <w:r>
        <w:rPr>
          <w:color w:val="000000" w:themeColor="text1"/>
        </w:rPr>
        <w:t>年</w:t>
      </w:r>
      <w:r>
        <w:rPr>
          <w:rFonts w:hint="eastAsia"/>
          <w:color w:val="000000" w:themeColor="text1"/>
        </w:rPr>
        <w:t>6</w:t>
      </w:r>
      <w:r>
        <w:rPr>
          <w:color w:val="000000" w:themeColor="text1"/>
        </w:rPr>
        <w:t>月，我国手机网民规模达</w:t>
      </w:r>
      <w:r>
        <w:rPr>
          <w:rFonts w:hint="eastAsia"/>
          <w:color w:val="000000" w:themeColor="text1"/>
        </w:rPr>
        <w:t>10.96</w:t>
      </w:r>
      <w:r>
        <w:rPr>
          <w:color w:val="000000" w:themeColor="text1"/>
        </w:rPr>
        <w:t>亿人，较</w:t>
      </w:r>
      <w:r>
        <w:rPr>
          <w:color w:val="000000" w:themeColor="text1"/>
        </w:rPr>
        <w:t>202</w:t>
      </w:r>
      <w:r>
        <w:rPr>
          <w:rFonts w:hint="eastAsia"/>
          <w:color w:val="000000" w:themeColor="text1"/>
        </w:rPr>
        <w:t>3</w:t>
      </w:r>
      <w:r>
        <w:rPr>
          <w:color w:val="000000" w:themeColor="text1"/>
        </w:rPr>
        <w:t>年</w:t>
      </w:r>
      <w:r>
        <w:rPr>
          <w:color w:val="000000" w:themeColor="text1"/>
        </w:rPr>
        <w:t>12</w:t>
      </w:r>
      <w:r>
        <w:rPr>
          <w:color w:val="000000" w:themeColor="text1"/>
        </w:rPr>
        <w:t>月增长</w:t>
      </w:r>
      <w:r>
        <w:rPr>
          <w:rFonts w:hint="eastAsia"/>
          <w:color w:val="000000" w:themeColor="text1"/>
        </w:rPr>
        <w:t>528</w:t>
      </w:r>
      <w:r>
        <w:rPr>
          <w:color w:val="000000" w:themeColor="text1"/>
        </w:rPr>
        <w:t>万人，网民中使用手机上网的比例为</w:t>
      </w:r>
      <w:r>
        <w:rPr>
          <w:rFonts w:hint="eastAsia"/>
          <w:color w:val="000000" w:themeColor="text1"/>
        </w:rPr>
        <w:t>99.7</w:t>
      </w:r>
      <w:r>
        <w:rPr>
          <w:color w:val="000000" w:themeColor="text1"/>
        </w:rPr>
        <w:t>%</w:t>
      </w:r>
      <w:r>
        <w:rPr>
          <w:color w:val="000000" w:themeColor="text1"/>
        </w:rPr>
        <w:t>。</w:t>
      </w:r>
    </w:p>
    <w:p w14:paraId="1E696A5A" w14:textId="77777777" w:rsidR="008810A2" w:rsidRDefault="00D921E0">
      <w:pPr>
        <w:spacing w:beforeLines="50" w:before="156"/>
        <w:ind w:firstLineChars="0" w:firstLine="0"/>
        <w:jc w:val="center"/>
        <w:rPr>
          <w:color w:val="000000" w:themeColor="text1"/>
        </w:rPr>
      </w:pPr>
      <w:r>
        <w:rPr>
          <w:rFonts w:eastAsia="仿宋"/>
          <w:noProof/>
          <w:sz w:val="24"/>
          <w:szCs w:val="20"/>
        </w:rPr>
        <w:lastRenderedPageBreak/>
        <w:drawing>
          <wp:inline distT="0" distB="0" distL="0" distR="0" wp14:anchorId="7AB03828" wp14:editId="55675E00">
            <wp:extent cx="5067935" cy="2876550"/>
            <wp:effectExtent l="0" t="0" r="18415" b="0"/>
            <wp:docPr id="269611253" name="图表 269611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21B0F9" w14:textId="256BDB30" w:rsidR="008810A2" w:rsidRDefault="00D921E0" w:rsidP="002B0D05">
      <w:pPr>
        <w:pStyle w:val="a4"/>
      </w:pPr>
      <w:r>
        <w:rPr>
          <w:rFonts w:eastAsia="宋体"/>
        </w:rP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13</w:t>
      </w:r>
      <w:r>
        <w:fldChar w:fldCharType="end"/>
      </w:r>
      <w:r>
        <w:t xml:space="preserve">  202</w:t>
      </w:r>
      <w:r>
        <w:rPr>
          <w:rFonts w:hint="eastAsia"/>
        </w:rPr>
        <w:t>2</w:t>
      </w:r>
      <w:r>
        <w:t>.</w:t>
      </w:r>
      <w:r>
        <w:rPr>
          <w:rFonts w:hint="eastAsia"/>
        </w:rPr>
        <w:t>6</w:t>
      </w:r>
      <w:r>
        <w:t>-202</w:t>
      </w:r>
      <w:r>
        <w:rPr>
          <w:rFonts w:hint="eastAsia"/>
        </w:rPr>
        <w:t>4</w:t>
      </w:r>
      <w:r>
        <w:t>.</w:t>
      </w:r>
      <w:r>
        <w:rPr>
          <w:rFonts w:hint="eastAsia"/>
        </w:rPr>
        <w:t>6</w:t>
      </w:r>
      <w:r>
        <w:rPr>
          <w:rFonts w:eastAsia="宋体"/>
        </w:rPr>
        <w:t>手机网民规模及其占网民比例</w:t>
      </w:r>
    </w:p>
    <w:p w14:paraId="208F15BA" w14:textId="77777777" w:rsidR="008810A2" w:rsidRDefault="00D921E0">
      <w:pPr>
        <w:ind w:firstLine="420"/>
        <w:rPr>
          <w:bCs/>
        </w:rPr>
      </w:pPr>
      <w:r>
        <w:rPr>
          <w:bCs/>
        </w:rPr>
        <w:t>202</w:t>
      </w:r>
      <w:r>
        <w:rPr>
          <w:rFonts w:hint="eastAsia"/>
          <w:bCs/>
        </w:rPr>
        <w:t>4</w:t>
      </w:r>
      <w:r>
        <w:rPr>
          <w:bCs/>
        </w:rPr>
        <w:t>年</w:t>
      </w:r>
      <w:r>
        <w:rPr>
          <w:rFonts w:hint="eastAsia"/>
          <w:bCs/>
        </w:rPr>
        <w:t>上半年</w:t>
      </w:r>
      <w:r>
        <w:rPr>
          <w:bCs/>
        </w:rPr>
        <w:t>，</w:t>
      </w:r>
      <w:r>
        <w:rPr>
          <w:rFonts w:hint="eastAsia"/>
          <w:bCs/>
        </w:rPr>
        <w:t>我国数字信息基础设施持续稳固，数字惠民利民服务广泛开展，有力推动网民规模增长。</w:t>
      </w:r>
    </w:p>
    <w:p w14:paraId="2C414F2C" w14:textId="77777777" w:rsidR="008810A2" w:rsidRDefault="00D921E0">
      <w:pPr>
        <w:ind w:firstLine="422"/>
        <w:rPr>
          <w:bCs/>
        </w:rPr>
      </w:pPr>
      <w:r>
        <w:rPr>
          <w:rFonts w:hint="eastAsia"/>
          <w:b/>
        </w:rPr>
        <w:t>一是数字信息基础设施建设持续推进，满足更多人上网需求。</w:t>
      </w:r>
      <w:r>
        <w:rPr>
          <w:rFonts w:hint="eastAsia"/>
          <w:bCs/>
        </w:rPr>
        <w:t>数字信息基础设施建设稳步推进，显著</w:t>
      </w:r>
      <w:proofErr w:type="gramStart"/>
      <w:r>
        <w:rPr>
          <w:rFonts w:hint="eastAsia"/>
          <w:bCs/>
        </w:rPr>
        <w:t>提升网速并</w:t>
      </w:r>
      <w:proofErr w:type="gramEnd"/>
      <w:r>
        <w:rPr>
          <w:rFonts w:hint="eastAsia"/>
          <w:bCs/>
        </w:rPr>
        <w:t>扩大高速网络覆盖范围，满足更多人群上网需求，推动网民规模增长。</w:t>
      </w:r>
      <w:r>
        <w:rPr>
          <w:rFonts w:hint="eastAsia"/>
          <w:color w:val="000000" w:themeColor="text1"/>
        </w:rPr>
        <w:t>截至</w:t>
      </w:r>
      <w:r>
        <w:rPr>
          <w:color w:val="000000" w:themeColor="text1"/>
        </w:rPr>
        <w:t>6</w:t>
      </w:r>
      <w:r>
        <w:rPr>
          <w:rFonts w:hint="eastAsia"/>
          <w:color w:val="000000" w:themeColor="text1"/>
        </w:rPr>
        <w:t>月末，</w:t>
      </w:r>
      <w:r>
        <w:rPr>
          <w:rFonts w:hint="eastAsia"/>
          <w:bCs/>
        </w:rPr>
        <w:t>我国</w:t>
      </w:r>
      <w:r>
        <w:rPr>
          <w:rFonts w:hint="eastAsia"/>
          <w:color w:val="000000"/>
        </w:rPr>
        <w:t>累计建成</w:t>
      </w:r>
      <w:r>
        <w:rPr>
          <w:rFonts w:hint="eastAsia"/>
          <w:color w:val="000000"/>
        </w:rPr>
        <w:t>5G</w:t>
      </w:r>
      <w:r>
        <w:rPr>
          <w:rFonts w:hint="eastAsia"/>
          <w:color w:val="000000"/>
        </w:rPr>
        <w:t>基站</w:t>
      </w:r>
      <w:r>
        <w:rPr>
          <w:color w:val="000000"/>
        </w:rPr>
        <w:t>391.7</w:t>
      </w:r>
      <w:r>
        <w:rPr>
          <w:rFonts w:hint="eastAsia"/>
          <w:color w:val="000000"/>
        </w:rPr>
        <w:t>万个，</w:t>
      </w:r>
      <w:proofErr w:type="gramStart"/>
      <w:r>
        <w:rPr>
          <w:rFonts w:hint="eastAsia"/>
          <w:color w:val="000000"/>
        </w:rPr>
        <w:t>占比较</w:t>
      </w:r>
      <w:proofErr w:type="gramEnd"/>
      <w:r>
        <w:rPr>
          <w:rFonts w:hint="eastAsia"/>
          <w:color w:val="000000"/>
        </w:rPr>
        <w:t>一季度</w:t>
      </w:r>
      <w:r>
        <w:rPr>
          <w:rFonts w:hint="eastAsia"/>
          <w:bCs/>
        </w:rPr>
        <w:t>提高</w:t>
      </w:r>
      <w:r>
        <w:rPr>
          <w:bCs/>
        </w:rPr>
        <w:t>2.4</w:t>
      </w:r>
      <w:r>
        <w:rPr>
          <w:rFonts w:hint="eastAsia"/>
          <w:bCs/>
        </w:rPr>
        <w:t>个百分点</w:t>
      </w:r>
      <w:r>
        <w:rPr>
          <w:rStyle w:val="affe"/>
          <w:rFonts w:hint="eastAsia"/>
          <w:bCs/>
        </w:rPr>
        <w:footnoteReference w:id="16"/>
      </w:r>
      <w:r>
        <w:rPr>
          <w:rFonts w:hint="eastAsia"/>
          <w:bCs/>
        </w:rPr>
        <w:t>；累计开通</w:t>
      </w:r>
      <w:r>
        <w:rPr>
          <w:rFonts w:hint="eastAsia"/>
          <w:bCs/>
        </w:rPr>
        <w:t>2</w:t>
      </w:r>
      <w:r>
        <w:rPr>
          <w:bCs/>
        </w:rPr>
        <w:t>6</w:t>
      </w:r>
      <w:r>
        <w:rPr>
          <w:rFonts w:hint="eastAsia"/>
          <w:bCs/>
        </w:rPr>
        <w:t>个互联网骨干直联点，网间带宽扩容</w:t>
      </w:r>
      <w:r>
        <w:rPr>
          <w:rFonts w:hint="eastAsia"/>
          <w:bCs/>
        </w:rPr>
        <w:t>6</w:t>
      </w:r>
      <w:r>
        <w:rPr>
          <w:bCs/>
        </w:rPr>
        <w:t>.17</w:t>
      </w:r>
      <w:r>
        <w:rPr>
          <w:rFonts w:hint="eastAsia"/>
          <w:bCs/>
        </w:rPr>
        <w:t>T</w:t>
      </w:r>
      <w:r>
        <w:rPr>
          <w:rFonts w:hint="eastAsia"/>
          <w:bCs/>
        </w:rPr>
        <w:t>，总带宽达到</w:t>
      </w:r>
      <w:r>
        <w:rPr>
          <w:rFonts w:hint="eastAsia"/>
          <w:bCs/>
        </w:rPr>
        <w:t>5</w:t>
      </w:r>
      <w:r>
        <w:rPr>
          <w:bCs/>
        </w:rPr>
        <w:t>8.9</w:t>
      </w:r>
      <w:r>
        <w:rPr>
          <w:rFonts w:hint="eastAsia"/>
          <w:bCs/>
        </w:rPr>
        <w:t>T</w:t>
      </w:r>
      <w:r>
        <w:rPr>
          <w:rStyle w:val="affe"/>
          <w:rFonts w:hint="eastAsia"/>
          <w:bCs/>
        </w:rPr>
        <w:footnoteReference w:id="17"/>
      </w:r>
      <w:r>
        <w:rPr>
          <w:rFonts w:hint="eastAsia"/>
          <w:bCs/>
        </w:rPr>
        <w:t>；三家基础电信企业完成移动数据流量业务收入</w:t>
      </w:r>
      <w:r>
        <w:rPr>
          <w:rFonts w:hint="eastAsia"/>
          <w:bCs/>
        </w:rPr>
        <w:t>3280</w:t>
      </w:r>
      <w:r>
        <w:rPr>
          <w:rFonts w:hint="eastAsia"/>
          <w:bCs/>
        </w:rPr>
        <w:t>亿元，</w:t>
      </w:r>
      <w:r>
        <w:rPr>
          <w:rFonts w:hint="eastAsia"/>
          <w:bCs/>
        </w:rPr>
        <w:t>IPTV</w:t>
      </w:r>
      <w:r>
        <w:rPr>
          <w:rFonts w:hint="eastAsia"/>
          <w:bCs/>
        </w:rPr>
        <w:t>等新兴业务收入较快增长</w:t>
      </w:r>
      <w:r>
        <w:rPr>
          <w:rStyle w:val="affe"/>
          <w:rFonts w:hint="eastAsia"/>
          <w:bCs/>
        </w:rPr>
        <w:footnoteReference w:id="18"/>
      </w:r>
      <w:r>
        <w:rPr>
          <w:rFonts w:hint="eastAsia"/>
          <w:bCs/>
        </w:rPr>
        <w:t>。</w:t>
      </w:r>
    </w:p>
    <w:p w14:paraId="60871337" w14:textId="77777777" w:rsidR="008810A2" w:rsidRDefault="00D921E0">
      <w:pPr>
        <w:ind w:firstLine="422"/>
        <w:rPr>
          <w:bCs/>
        </w:rPr>
      </w:pPr>
      <w:r>
        <w:rPr>
          <w:rFonts w:hint="eastAsia"/>
          <w:b/>
        </w:rPr>
        <w:t>二是数字惠民提升网络服务水平，更多人民共享数字红利。</w:t>
      </w:r>
      <w:r>
        <w:rPr>
          <w:rFonts w:hint="eastAsia"/>
          <w:bCs/>
        </w:rPr>
        <w:t>数字</w:t>
      </w:r>
      <w:proofErr w:type="gramStart"/>
      <w:r>
        <w:rPr>
          <w:rFonts w:hint="eastAsia"/>
          <w:bCs/>
        </w:rPr>
        <w:t>适</w:t>
      </w:r>
      <w:proofErr w:type="gramEnd"/>
      <w:r>
        <w:rPr>
          <w:rFonts w:hint="eastAsia"/>
          <w:bCs/>
        </w:rPr>
        <w:t>老化和无障碍服务助力老年人和残障群体跨越数字鸿沟。截至</w:t>
      </w:r>
      <w:r>
        <w:rPr>
          <w:rFonts w:hint="eastAsia"/>
          <w:bCs/>
        </w:rPr>
        <w:t>6</w:t>
      </w:r>
      <w:r>
        <w:rPr>
          <w:rFonts w:hint="eastAsia"/>
          <w:bCs/>
        </w:rPr>
        <w:t>月末，</w:t>
      </w:r>
      <w:r>
        <w:rPr>
          <w:rFonts w:hint="eastAsia"/>
          <w:bCs/>
        </w:rPr>
        <w:t>2792</w:t>
      </w:r>
      <w:r>
        <w:rPr>
          <w:rFonts w:hint="eastAsia"/>
          <w:bCs/>
        </w:rPr>
        <w:t>家与老年人、残疾人生活密切相关的网站、</w:t>
      </w:r>
      <w:r>
        <w:rPr>
          <w:rFonts w:hint="eastAsia"/>
          <w:bCs/>
        </w:rPr>
        <w:t>APP</w:t>
      </w:r>
      <w:r>
        <w:rPr>
          <w:rFonts w:hint="eastAsia"/>
          <w:bCs/>
        </w:rPr>
        <w:t>完成</w:t>
      </w:r>
      <w:proofErr w:type="gramStart"/>
      <w:r>
        <w:rPr>
          <w:rFonts w:hint="eastAsia"/>
          <w:bCs/>
        </w:rPr>
        <w:t>适</w:t>
      </w:r>
      <w:proofErr w:type="gramEnd"/>
      <w:r>
        <w:rPr>
          <w:rFonts w:hint="eastAsia"/>
          <w:bCs/>
        </w:rPr>
        <w:t>老化及无障碍改造，“一键呼入人工客服”尊老专线累计服务</w:t>
      </w:r>
      <w:r>
        <w:rPr>
          <w:rFonts w:hint="eastAsia"/>
          <w:bCs/>
        </w:rPr>
        <w:t>4.9</w:t>
      </w:r>
      <w:r>
        <w:rPr>
          <w:rFonts w:hint="eastAsia"/>
          <w:bCs/>
        </w:rPr>
        <w:t>亿人次</w:t>
      </w:r>
      <w:r>
        <w:rPr>
          <w:rStyle w:val="affe"/>
          <w:rFonts w:hint="eastAsia"/>
          <w:bCs/>
        </w:rPr>
        <w:footnoteReference w:id="19"/>
      </w:r>
      <w:r>
        <w:rPr>
          <w:rFonts w:hint="eastAsia"/>
          <w:bCs/>
        </w:rPr>
        <w:t>。上半年新增网民群体中，</w:t>
      </w:r>
      <w:r>
        <w:rPr>
          <w:rFonts w:hint="eastAsia"/>
          <w:bCs/>
        </w:rPr>
        <w:t>60</w:t>
      </w:r>
      <w:r>
        <w:rPr>
          <w:rFonts w:hint="eastAsia"/>
          <w:bCs/>
        </w:rPr>
        <w:t>岁及以上老年群体占比</w:t>
      </w:r>
      <w:r>
        <w:rPr>
          <w:rFonts w:hint="eastAsia"/>
          <w:bCs/>
        </w:rPr>
        <w:t>20.8%</w:t>
      </w:r>
      <w:r>
        <w:rPr>
          <w:rFonts w:hint="eastAsia"/>
          <w:bCs/>
        </w:rPr>
        <w:t>。</w:t>
      </w:r>
    </w:p>
    <w:p w14:paraId="38F902B7" w14:textId="77777777" w:rsidR="008810A2" w:rsidRDefault="00D921E0">
      <w:pPr>
        <w:ind w:firstLine="422"/>
        <w:rPr>
          <w:rFonts w:eastAsiaTheme="minorEastAsia"/>
          <w:bCs/>
        </w:rPr>
      </w:pPr>
      <w:r>
        <w:rPr>
          <w:rFonts w:hint="eastAsia"/>
          <w:b/>
        </w:rPr>
        <w:t>三是网络应用拓展用户能力提升，持续推动更多人触网。</w:t>
      </w:r>
      <w:r>
        <w:rPr>
          <w:rFonts w:hint="eastAsia"/>
          <w:bCs/>
        </w:rPr>
        <w:t>上半年，我国新增网民</w:t>
      </w:r>
      <w:r>
        <w:rPr>
          <w:rFonts w:hint="eastAsia"/>
          <w:bCs/>
        </w:rPr>
        <w:t>742</w:t>
      </w:r>
      <w:r>
        <w:rPr>
          <w:rFonts w:hint="eastAsia"/>
          <w:bCs/>
        </w:rPr>
        <w:t>万人。在新增网民中，娱乐社交需求最能激发网民上网，其中短视频和即时通信用户规模分别新增</w:t>
      </w:r>
      <w:r>
        <w:rPr>
          <w:rFonts w:hint="eastAsia"/>
          <w:bCs/>
        </w:rPr>
        <w:t>277</w:t>
      </w:r>
      <w:r>
        <w:rPr>
          <w:rFonts w:hint="eastAsia"/>
          <w:bCs/>
        </w:rPr>
        <w:t>万和</w:t>
      </w:r>
      <w:r>
        <w:rPr>
          <w:rFonts w:hint="eastAsia"/>
          <w:bCs/>
        </w:rPr>
        <w:t>93</w:t>
      </w:r>
      <w:r>
        <w:rPr>
          <w:rFonts w:hint="eastAsia"/>
          <w:bCs/>
        </w:rPr>
        <w:t>万人。随着技术进步和服务的不断完善，网络应用的加速普及将持续推动</w:t>
      </w:r>
      <w:r>
        <w:rPr>
          <w:rFonts w:hint="eastAsia"/>
          <w:bCs/>
        </w:rPr>
        <w:lastRenderedPageBreak/>
        <w:t>人民“触网”。</w:t>
      </w:r>
    </w:p>
    <w:p w14:paraId="43EA093C" w14:textId="77777777" w:rsidR="008810A2" w:rsidRDefault="00D921E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188" w:name="_Toc175065702"/>
      <w:r>
        <w:rPr>
          <w:rFonts w:eastAsia="楷体_GB2312"/>
          <w:color w:val="000000" w:themeColor="text1"/>
          <w:sz w:val="30"/>
          <w:szCs w:val="30"/>
        </w:rPr>
        <w:t>城乡网民规模</w:t>
      </w:r>
      <w:bookmarkEnd w:id="188"/>
    </w:p>
    <w:p w14:paraId="04712C13" w14:textId="77777777" w:rsidR="008810A2" w:rsidRDefault="00D921E0">
      <w:pPr>
        <w:ind w:firstLineChars="0" w:firstLine="420"/>
        <w:rPr>
          <w:bCs/>
        </w:rPr>
      </w:pPr>
      <w:r>
        <w:rPr>
          <w:rFonts w:hint="eastAsia"/>
          <w:bCs/>
        </w:rPr>
        <w:t>截至</w:t>
      </w:r>
      <w:r>
        <w:rPr>
          <w:bCs/>
        </w:rPr>
        <w:t>202</w:t>
      </w:r>
      <w:r>
        <w:rPr>
          <w:rFonts w:hint="eastAsia"/>
          <w:bCs/>
        </w:rPr>
        <w:t>4</w:t>
      </w:r>
      <w:r>
        <w:rPr>
          <w:rFonts w:hint="eastAsia"/>
          <w:bCs/>
        </w:rPr>
        <w:t>年</w:t>
      </w:r>
      <w:r>
        <w:rPr>
          <w:rFonts w:hint="eastAsia"/>
          <w:bCs/>
        </w:rPr>
        <w:t>6</w:t>
      </w:r>
      <w:r>
        <w:rPr>
          <w:rFonts w:hint="eastAsia"/>
          <w:bCs/>
        </w:rPr>
        <w:t>月，我国城镇网民规模达</w:t>
      </w:r>
      <w:r>
        <w:rPr>
          <w:rFonts w:hint="eastAsia"/>
          <w:bCs/>
        </w:rPr>
        <w:t>7.95</w:t>
      </w:r>
      <w:r>
        <w:rPr>
          <w:rFonts w:hint="eastAsia"/>
          <w:bCs/>
        </w:rPr>
        <w:t>亿人，占网民整体的</w:t>
      </w:r>
      <w:r>
        <w:rPr>
          <w:rFonts w:hint="eastAsia"/>
          <w:bCs/>
        </w:rPr>
        <w:t>72.3</w:t>
      </w:r>
      <w:r>
        <w:rPr>
          <w:bCs/>
        </w:rPr>
        <w:t>%</w:t>
      </w:r>
      <w:r>
        <w:rPr>
          <w:rFonts w:hint="eastAsia"/>
          <w:bCs/>
        </w:rPr>
        <w:t>；农村网民规模达</w:t>
      </w:r>
      <w:r>
        <w:rPr>
          <w:rFonts w:hint="eastAsia"/>
          <w:bCs/>
        </w:rPr>
        <w:t>3.04</w:t>
      </w:r>
      <w:r>
        <w:rPr>
          <w:rFonts w:hint="eastAsia"/>
          <w:bCs/>
        </w:rPr>
        <w:t>亿人</w:t>
      </w:r>
      <w:r>
        <w:rPr>
          <w:rStyle w:val="affe"/>
          <w:rFonts w:hint="eastAsia"/>
          <w:bCs/>
        </w:rPr>
        <w:footnoteReference w:id="20"/>
      </w:r>
      <w:r>
        <w:rPr>
          <w:rFonts w:hint="eastAsia"/>
          <w:bCs/>
        </w:rPr>
        <w:t>，占网民整体的</w:t>
      </w:r>
      <w:r>
        <w:rPr>
          <w:rFonts w:hint="eastAsia"/>
          <w:bCs/>
        </w:rPr>
        <w:t>27.7</w:t>
      </w:r>
      <w:r>
        <w:rPr>
          <w:bCs/>
        </w:rPr>
        <w:t>%</w:t>
      </w:r>
      <w:r>
        <w:rPr>
          <w:rFonts w:hint="eastAsia"/>
          <w:bCs/>
        </w:rPr>
        <w:t>。</w:t>
      </w:r>
    </w:p>
    <w:p w14:paraId="04B49040" w14:textId="77777777" w:rsidR="008810A2" w:rsidRDefault="00D921E0">
      <w:pPr>
        <w:spacing w:beforeLines="50" w:before="156"/>
        <w:ind w:firstLineChars="0" w:firstLine="0"/>
        <w:jc w:val="center"/>
        <w:rPr>
          <w:bCs/>
        </w:rPr>
      </w:pPr>
      <w:r>
        <w:rPr>
          <w:noProof/>
        </w:rPr>
        <w:drawing>
          <wp:inline distT="0" distB="0" distL="0" distR="0" wp14:anchorId="798E0F6C" wp14:editId="59F291E0">
            <wp:extent cx="4601210" cy="2531110"/>
            <wp:effectExtent l="0" t="0" r="8890" b="2540"/>
            <wp:docPr id="1287974971" name="图表 1287974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0E9555" w14:textId="16D5B9F4" w:rsidR="008810A2" w:rsidRDefault="00D921E0" w:rsidP="002B0D05">
      <w:pPr>
        <w:pStyle w:val="a4"/>
        <w:rPr>
          <w:bCs/>
        </w:rPr>
      </w:pPr>
      <w:r>
        <w:rPr>
          <w:rFonts w:eastAsia="宋体"/>
        </w:rPr>
        <w:t>图</w:t>
      </w:r>
      <w:r>
        <w:rPr>
          <w:rFonts w:eastAsia="宋体"/>
        </w:rPr>
        <w:t xml:space="preserve"> </w:t>
      </w:r>
      <w:r>
        <w:fldChar w:fldCharType="begin"/>
      </w:r>
      <w:r>
        <w:instrText xml:space="preserve"> SEQ </w:instrText>
      </w:r>
      <w:r>
        <w:instrText>图</w:instrText>
      </w:r>
      <w:r>
        <w:instrText xml:space="preserve"> \* ARABIC </w:instrText>
      </w:r>
      <w:r>
        <w:fldChar w:fldCharType="separate"/>
      </w:r>
      <w:r w:rsidR="00A057C8">
        <w:rPr>
          <w:noProof/>
        </w:rPr>
        <w:t>14</w:t>
      </w:r>
      <w:r>
        <w:fldChar w:fldCharType="end"/>
      </w:r>
      <w:r>
        <w:rPr>
          <w:bCs/>
        </w:rPr>
        <w:t xml:space="preserve">  </w:t>
      </w:r>
      <w:r>
        <w:rPr>
          <w:rFonts w:eastAsia="宋体"/>
        </w:rPr>
        <w:t>网民城乡结构</w:t>
      </w:r>
    </w:p>
    <w:p w14:paraId="3083AC8E" w14:textId="77777777" w:rsidR="008810A2" w:rsidRDefault="00D921E0">
      <w:pPr>
        <w:ind w:firstLineChars="0" w:firstLine="420"/>
        <w:rPr>
          <w:bCs/>
        </w:rPr>
      </w:pPr>
      <w:r>
        <w:rPr>
          <w:bCs/>
        </w:rPr>
        <w:t>截至</w:t>
      </w:r>
      <w:r>
        <w:rPr>
          <w:bCs/>
        </w:rPr>
        <w:t>202</w:t>
      </w:r>
      <w:r>
        <w:rPr>
          <w:rFonts w:hint="eastAsia"/>
          <w:bCs/>
        </w:rPr>
        <w:t>4</w:t>
      </w:r>
      <w:r>
        <w:rPr>
          <w:bCs/>
        </w:rPr>
        <w:t>年</w:t>
      </w:r>
      <w:r>
        <w:rPr>
          <w:rFonts w:hint="eastAsia"/>
          <w:bCs/>
        </w:rPr>
        <w:t>6</w:t>
      </w:r>
      <w:r>
        <w:rPr>
          <w:bCs/>
        </w:rPr>
        <w:t>月，我国城镇地区互联网普及率为</w:t>
      </w:r>
      <w:r>
        <w:rPr>
          <w:rFonts w:hint="eastAsia"/>
          <w:bCs/>
        </w:rPr>
        <w:t>85.3</w:t>
      </w:r>
      <w:r>
        <w:rPr>
          <w:bCs/>
        </w:rPr>
        <w:t>%</w:t>
      </w:r>
      <w:r>
        <w:rPr>
          <w:bCs/>
        </w:rPr>
        <w:t>，较</w:t>
      </w:r>
      <w:r>
        <w:rPr>
          <w:bCs/>
        </w:rPr>
        <w:t>202</w:t>
      </w:r>
      <w:r>
        <w:rPr>
          <w:rFonts w:hint="eastAsia"/>
          <w:bCs/>
        </w:rPr>
        <w:t>3</w:t>
      </w:r>
      <w:r>
        <w:rPr>
          <w:bCs/>
        </w:rPr>
        <w:t>年</w:t>
      </w:r>
      <w:r>
        <w:rPr>
          <w:bCs/>
        </w:rPr>
        <w:t>12</w:t>
      </w:r>
      <w:r>
        <w:rPr>
          <w:bCs/>
        </w:rPr>
        <w:t>月提升</w:t>
      </w:r>
      <w:r>
        <w:rPr>
          <w:rFonts w:hint="eastAsia"/>
          <w:bCs/>
        </w:rPr>
        <w:t>1.9</w:t>
      </w:r>
      <w:r>
        <w:rPr>
          <w:bCs/>
        </w:rPr>
        <w:t>个百分点；农村地区互联网普及率为</w:t>
      </w:r>
      <w:r>
        <w:rPr>
          <w:rFonts w:hint="eastAsia"/>
          <w:bCs/>
        </w:rPr>
        <w:t>63.8</w:t>
      </w:r>
      <w:r>
        <w:rPr>
          <w:bCs/>
        </w:rPr>
        <w:t>%</w:t>
      </w:r>
      <w:r>
        <w:rPr>
          <w:rFonts w:hint="eastAsia"/>
          <w:bCs/>
        </w:rPr>
        <w:t>，</w:t>
      </w:r>
      <w:r>
        <w:rPr>
          <w:bCs/>
        </w:rPr>
        <w:t>较</w:t>
      </w:r>
      <w:r>
        <w:rPr>
          <w:bCs/>
        </w:rPr>
        <w:t>202</w:t>
      </w:r>
      <w:r>
        <w:rPr>
          <w:rFonts w:hint="eastAsia"/>
          <w:bCs/>
        </w:rPr>
        <w:t>3</w:t>
      </w:r>
      <w:r>
        <w:rPr>
          <w:bCs/>
        </w:rPr>
        <w:t>年</w:t>
      </w:r>
      <w:r>
        <w:rPr>
          <w:bCs/>
        </w:rPr>
        <w:t>12</w:t>
      </w:r>
      <w:r>
        <w:rPr>
          <w:bCs/>
        </w:rPr>
        <w:t>月</w:t>
      </w:r>
      <w:r>
        <w:rPr>
          <w:rFonts w:hint="eastAsia"/>
          <w:bCs/>
        </w:rPr>
        <w:t>下降</w:t>
      </w:r>
      <w:r>
        <w:rPr>
          <w:rFonts w:hint="eastAsia"/>
          <w:bCs/>
        </w:rPr>
        <w:t>2.7</w:t>
      </w:r>
      <w:r>
        <w:rPr>
          <w:bCs/>
        </w:rPr>
        <w:t>个百分点。</w:t>
      </w:r>
    </w:p>
    <w:p w14:paraId="467F92C9" w14:textId="77777777" w:rsidR="008810A2" w:rsidRDefault="00D921E0">
      <w:pPr>
        <w:spacing w:beforeLines="50" w:before="156"/>
        <w:ind w:firstLineChars="0" w:firstLine="0"/>
        <w:jc w:val="center"/>
        <w:rPr>
          <w:bCs/>
        </w:rPr>
      </w:pPr>
      <w:r>
        <w:rPr>
          <w:noProof/>
        </w:rPr>
        <w:drawing>
          <wp:inline distT="0" distB="0" distL="0" distR="0" wp14:anchorId="49D33117" wp14:editId="460F1CB7">
            <wp:extent cx="4620895" cy="2531110"/>
            <wp:effectExtent l="0" t="0" r="8255" b="2540"/>
            <wp:docPr id="733230505" name="图表 733230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72F02A3" w14:textId="5CE464B5" w:rsidR="008810A2" w:rsidRDefault="00D921E0" w:rsidP="002B0D05">
      <w:pPr>
        <w:pStyle w:val="a4"/>
        <w:rPr>
          <w:bCs/>
        </w:rPr>
      </w:pPr>
      <w:r>
        <w:rPr>
          <w:rFonts w:eastAsia="宋体"/>
        </w:rP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15</w:t>
      </w:r>
      <w:r>
        <w:fldChar w:fldCharType="end"/>
      </w:r>
      <w:r>
        <w:rPr>
          <w:bCs/>
        </w:rPr>
        <w:t xml:space="preserve">  </w:t>
      </w:r>
      <w:r>
        <w:rPr>
          <w:rFonts w:eastAsia="宋体"/>
        </w:rPr>
        <w:t>城乡地区互联网普及率</w:t>
      </w:r>
    </w:p>
    <w:p w14:paraId="5184E3FB" w14:textId="77777777" w:rsidR="008810A2" w:rsidRDefault="00D921E0">
      <w:pPr>
        <w:ind w:firstLineChars="0" w:firstLine="420"/>
      </w:pPr>
      <w:r>
        <w:rPr>
          <w:rFonts w:hint="eastAsia"/>
        </w:rPr>
        <w:lastRenderedPageBreak/>
        <w:t>2024</w:t>
      </w:r>
      <w:r>
        <w:rPr>
          <w:rFonts w:hint="eastAsia"/>
        </w:rPr>
        <w:t>年</w:t>
      </w:r>
      <w:r>
        <w:rPr>
          <w:rFonts w:hint="eastAsia"/>
        </w:rPr>
        <w:t>5</w:t>
      </w:r>
      <w:r>
        <w:rPr>
          <w:rFonts w:hint="eastAsia"/>
        </w:rPr>
        <w:t>月，工业和信息化部等部门联合印发《</w:t>
      </w:r>
      <w:r>
        <w:rPr>
          <w:rFonts w:hint="eastAsia"/>
        </w:rPr>
        <w:t>2024</w:t>
      </w:r>
      <w:r>
        <w:rPr>
          <w:rFonts w:hint="eastAsia"/>
        </w:rPr>
        <w:t>年数字乡村发展工作要点》，通过数字乡村发展战略，推动实现乡村振兴、加快农业农村现代化进程。</w:t>
      </w:r>
    </w:p>
    <w:p w14:paraId="722AF9EF" w14:textId="77777777" w:rsidR="008810A2" w:rsidRDefault="00D921E0">
      <w:pPr>
        <w:ind w:firstLineChars="0" w:firstLine="420"/>
      </w:pPr>
      <w:r>
        <w:rPr>
          <w:rFonts w:hint="eastAsia"/>
          <w:b/>
          <w:bCs/>
        </w:rPr>
        <w:t>一是乡村数字信息基础设施持续优化升级。</w:t>
      </w:r>
      <w:r>
        <w:rPr>
          <w:rFonts w:hint="eastAsia"/>
        </w:rPr>
        <w:t>在政策支持下，各地乡村不断推进</w:t>
      </w:r>
      <w:r>
        <w:rPr>
          <w:rFonts w:hint="eastAsia"/>
        </w:rPr>
        <w:t>4G</w:t>
      </w:r>
      <w:r>
        <w:rPr>
          <w:rFonts w:hint="eastAsia"/>
        </w:rPr>
        <w:t>基站补盲、</w:t>
      </w:r>
      <w:r>
        <w:rPr>
          <w:rFonts w:hint="eastAsia"/>
        </w:rPr>
        <w:t>5G</w:t>
      </w:r>
      <w:r>
        <w:rPr>
          <w:rFonts w:hint="eastAsia"/>
        </w:rPr>
        <w:t>网络延伸、千兆光纤网络建设。</w:t>
      </w:r>
      <w:r>
        <w:rPr>
          <w:rFonts w:hint="eastAsia"/>
        </w:rPr>
        <w:t>2024</w:t>
      </w:r>
      <w:r>
        <w:rPr>
          <w:rFonts w:hint="eastAsia"/>
        </w:rPr>
        <w:t>年电信普遍服务覆盖了</w:t>
      </w:r>
      <w:r>
        <w:rPr>
          <w:rFonts w:hint="eastAsia"/>
        </w:rPr>
        <w:t>204</w:t>
      </w:r>
      <w:r>
        <w:rPr>
          <w:rFonts w:hint="eastAsia"/>
        </w:rPr>
        <w:t>个地市，其中支持</w:t>
      </w:r>
      <w:r>
        <w:rPr>
          <w:rFonts w:hint="eastAsia"/>
        </w:rPr>
        <w:t>4G</w:t>
      </w:r>
      <w:r>
        <w:rPr>
          <w:rFonts w:hint="eastAsia"/>
        </w:rPr>
        <w:t>基站数</w:t>
      </w:r>
      <w:r>
        <w:rPr>
          <w:rFonts w:hint="eastAsia"/>
        </w:rPr>
        <w:t>4647</w:t>
      </w:r>
      <w:r>
        <w:rPr>
          <w:rFonts w:hint="eastAsia"/>
        </w:rPr>
        <w:t>个，支持</w:t>
      </w:r>
      <w:r>
        <w:rPr>
          <w:rFonts w:hint="eastAsia"/>
        </w:rPr>
        <w:t>5G</w:t>
      </w:r>
      <w:r>
        <w:rPr>
          <w:rFonts w:hint="eastAsia"/>
        </w:rPr>
        <w:t>基站数</w:t>
      </w:r>
      <w:r>
        <w:rPr>
          <w:rFonts w:hint="eastAsia"/>
        </w:rPr>
        <w:t>3680</w:t>
      </w:r>
      <w:r>
        <w:rPr>
          <w:rFonts w:hint="eastAsia"/>
        </w:rPr>
        <w:t>个</w:t>
      </w:r>
      <w:r>
        <w:rPr>
          <w:rStyle w:val="affe"/>
          <w:rFonts w:hint="eastAsia"/>
        </w:rPr>
        <w:footnoteReference w:id="21"/>
      </w:r>
      <w:r>
        <w:rPr>
          <w:rFonts w:hint="eastAsia"/>
        </w:rPr>
        <w:t>。在政策的扶持下，偏远大山深处的小村落陆续消除了信号盲点，信号“满格”带给农村居民更多的幸福感。</w:t>
      </w:r>
    </w:p>
    <w:p w14:paraId="75C33949" w14:textId="77777777" w:rsidR="008810A2" w:rsidRDefault="00D921E0">
      <w:pPr>
        <w:ind w:firstLineChars="0" w:firstLine="420"/>
      </w:pPr>
      <w:r>
        <w:rPr>
          <w:rFonts w:hint="eastAsia"/>
          <w:b/>
          <w:bCs/>
        </w:rPr>
        <w:t>二是乡村地区公共服务效能不断提升。</w:t>
      </w:r>
      <w:r>
        <w:rPr>
          <w:rFonts w:hint="eastAsia"/>
        </w:rPr>
        <w:t>在“互联网</w:t>
      </w:r>
      <w:r>
        <w:rPr>
          <w:rFonts w:hint="eastAsia"/>
        </w:rPr>
        <w:t>+</w:t>
      </w:r>
      <w:r>
        <w:rPr>
          <w:rFonts w:hint="eastAsia"/>
        </w:rPr>
        <w:t>教育”方面，根据教育部发布的最新数据，全国中小学（含教学点）互联网</w:t>
      </w:r>
      <w:proofErr w:type="gramStart"/>
      <w:r>
        <w:rPr>
          <w:rFonts w:hint="eastAsia"/>
        </w:rPr>
        <w:t>接入率</w:t>
      </w:r>
      <w:proofErr w:type="gramEnd"/>
      <w:r>
        <w:rPr>
          <w:rFonts w:hint="eastAsia"/>
        </w:rPr>
        <w:t>达</w:t>
      </w:r>
      <w:r>
        <w:rPr>
          <w:rFonts w:hint="eastAsia"/>
        </w:rPr>
        <w:t>100%</w:t>
      </w:r>
      <w:r>
        <w:rPr>
          <w:rFonts w:hint="eastAsia"/>
        </w:rPr>
        <w:t>；</w:t>
      </w:r>
      <w:r>
        <w:rPr>
          <w:rFonts w:hint="eastAsia"/>
        </w:rPr>
        <w:t>99.9%</w:t>
      </w:r>
      <w:r>
        <w:rPr>
          <w:rFonts w:hint="eastAsia"/>
        </w:rPr>
        <w:t>的学校出口带宽达</w:t>
      </w:r>
      <w:r>
        <w:rPr>
          <w:rFonts w:hint="eastAsia"/>
        </w:rPr>
        <w:t>100M</w:t>
      </w:r>
      <w:r>
        <w:rPr>
          <w:rFonts w:hint="eastAsia"/>
        </w:rPr>
        <w:t>以上，超过四分之三的学校实现无线网络覆盖，</w:t>
      </w:r>
      <w:r>
        <w:rPr>
          <w:rFonts w:hint="eastAsia"/>
        </w:rPr>
        <w:t>99.5%</w:t>
      </w:r>
      <w:r>
        <w:rPr>
          <w:rFonts w:hint="eastAsia"/>
        </w:rPr>
        <w:t>的学校拥有多媒体教室，</w:t>
      </w:r>
      <w:r>
        <w:rPr>
          <w:rFonts w:hint="eastAsia"/>
          <w:color w:val="000000" w:themeColor="text1"/>
        </w:rPr>
        <w:t>城乡差异基本消弭。</w:t>
      </w:r>
      <w:r>
        <w:rPr>
          <w:rFonts w:hint="eastAsia"/>
        </w:rPr>
        <w:t>在“互联网</w:t>
      </w:r>
      <w:r>
        <w:rPr>
          <w:rFonts w:hint="eastAsia"/>
        </w:rPr>
        <w:t>+</w:t>
      </w:r>
      <w:r>
        <w:rPr>
          <w:rFonts w:hint="eastAsia"/>
        </w:rPr>
        <w:t>医疗健康”方面，云上远程服务促使农村居民享受良好的医疗健康服务。以浙江省嘉兴市嘉善县为例，聚焦老年人居家</w:t>
      </w:r>
      <w:proofErr w:type="gramStart"/>
      <w:r>
        <w:rPr>
          <w:rFonts w:hint="eastAsia"/>
        </w:rPr>
        <w:t>医</w:t>
      </w:r>
      <w:proofErr w:type="gramEnd"/>
      <w:r>
        <w:rPr>
          <w:rFonts w:hint="eastAsia"/>
        </w:rPr>
        <w:t>养需求，通过线上点单、语音</w:t>
      </w:r>
      <w:proofErr w:type="gramStart"/>
      <w:r>
        <w:rPr>
          <w:rFonts w:hint="eastAsia"/>
        </w:rPr>
        <w:t>交互等</w:t>
      </w:r>
      <w:proofErr w:type="gramEnd"/>
      <w:r>
        <w:rPr>
          <w:rFonts w:hint="eastAsia"/>
        </w:rPr>
        <w:t>方式，为老年人提供医疗护理、生活照护、预约助餐等</w:t>
      </w:r>
      <w:r>
        <w:rPr>
          <w:rFonts w:hint="eastAsia"/>
        </w:rPr>
        <w:t>91</w:t>
      </w:r>
      <w:r>
        <w:rPr>
          <w:rFonts w:hint="eastAsia"/>
        </w:rPr>
        <w:t>项服务，年服务量突破</w:t>
      </w:r>
      <w:r>
        <w:rPr>
          <w:rFonts w:hint="eastAsia"/>
        </w:rPr>
        <w:t>100</w:t>
      </w:r>
      <w:r>
        <w:rPr>
          <w:rFonts w:hint="eastAsia"/>
        </w:rPr>
        <w:t>万人次</w:t>
      </w:r>
      <w:r>
        <w:rPr>
          <w:rStyle w:val="affe"/>
          <w:rFonts w:hint="eastAsia"/>
        </w:rPr>
        <w:footnoteReference w:id="22"/>
      </w:r>
      <w:r>
        <w:rPr>
          <w:rFonts w:hint="eastAsia"/>
        </w:rPr>
        <w:t>。</w:t>
      </w:r>
    </w:p>
    <w:p w14:paraId="5D79A246" w14:textId="77777777" w:rsidR="008810A2" w:rsidRDefault="00D921E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189" w:name="_Toc175065703"/>
      <w:r>
        <w:rPr>
          <w:rFonts w:eastAsia="楷体_GB2312"/>
          <w:color w:val="000000" w:themeColor="text1"/>
          <w:sz w:val="30"/>
          <w:szCs w:val="30"/>
        </w:rPr>
        <w:t>非网民规模</w:t>
      </w:r>
      <w:bookmarkEnd w:id="189"/>
    </w:p>
    <w:p w14:paraId="1E5341E8" w14:textId="77777777" w:rsidR="008810A2" w:rsidRDefault="00D921E0">
      <w:pPr>
        <w:ind w:firstLineChars="0" w:firstLine="420"/>
      </w:pPr>
      <w:r>
        <w:t>截至</w:t>
      </w:r>
      <w:r>
        <w:t>202</w:t>
      </w:r>
      <w:r>
        <w:rPr>
          <w:rFonts w:hint="eastAsia"/>
        </w:rPr>
        <w:t>4</w:t>
      </w:r>
      <w:r>
        <w:t>年</w:t>
      </w:r>
      <w:r>
        <w:rPr>
          <w:rFonts w:hint="eastAsia"/>
        </w:rPr>
        <w:t>6</w:t>
      </w:r>
      <w:r>
        <w:t>月，我国非网民规模为</w:t>
      </w:r>
      <w:r>
        <w:rPr>
          <w:rFonts w:hint="eastAsia"/>
        </w:rPr>
        <w:t>3.10</w:t>
      </w:r>
      <w:r>
        <w:t>亿人，较</w:t>
      </w:r>
      <w:r>
        <w:t>202</w:t>
      </w:r>
      <w:r>
        <w:rPr>
          <w:rFonts w:hint="eastAsia"/>
        </w:rPr>
        <w:t>3</w:t>
      </w:r>
      <w:r>
        <w:t>年</w:t>
      </w:r>
      <w:r>
        <w:t>12</w:t>
      </w:r>
      <w:r>
        <w:t>月减少</w:t>
      </w:r>
      <w:r>
        <w:rPr>
          <w:rFonts w:hint="eastAsia"/>
        </w:rPr>
        <w:t>742</w:t>
      </w:r>
      <w:r>
        <w:t>万人。从地区来看，我国非</w:t>
      </w:r>
      <w:proofErr w:type="gramStart"/>
      <w:r>
        <w:t>网民仍</w:t>
      </w:r>
      <w:proofErr w:type="gramEnd"/>
      <w:r>
        <w:t>以农村地区为主，农村地区非网民</w:t>
      </w:r>
      <w:r>
        <w:rPr>
          <w:rFonts w:hint="eastAsia"/>
        </w:rPr>
        <w:t>占非网民总体的</w:t>
      </w:r>
      <w:r>
        <w:t>比</w:t>
      </w:r>
      <w:r>
        <w:rPr>
          <w:rFonts w:hint="eastAsia"/>
        </w:rPr>
        <w:t>例</w:t>
      </w:r>
      <w:r>
        <w:t>为</w:t>
      </w:r>
      <w:r>
        <w:rPr>
          <w:rFonts w:hint="eastAsia"/>
        </w:rPr>
        <w:t>55.7</w:t>
      </w:r>
      <w:r>
        <w:t>%</w:t>
      </w:r>
      <w:r>
        <w:t>，高于全国农村人口比例</w:t>
      </w:r>
      <w:r>
        <w:t>2</w:t>
      </w:r>
      <w:r>
        <w:rPr>
          <w:rFonts w:hint="eastAsia"/>
        </w:rPr>
        <w:t>1.8</w:t>
      </w:r>
      <w:r>
        <w:rPr>
          <w:rFonts w:hint="eastAsia"/>
        </w:rPr>
        <w:t>个百分点</w:t>
      </w:r>
      <w:r>
        <w:t>。从年龄来看，</w:t>
      </w:r>
      <w:r>
        <w:t>60</w:t>
      </w:r>
      <w:r>
        <w:t>岁及以上老年群体是非网民的主要群体，截至</w:t>
      </w:r>
      <w:r>
        <w:t>202</w:t>
      </w:r>
      <w:r>
        <w:rPr>
          <w:rFonts w:hint="eastAsia"/>
        </w:rPr>
        <w:t>4</w:t>
      </w:r>
      <w:r>
        <w:t>年</w:t>
      </w:r>
      <w:r>
        <w:rPr>
          <w:rFonts w:hint="eastAsia"/>
        </w:rPr>
        <w:t>6</w:t>
      </w:r>
      <w:r>
        <w:t>月，我国</w:t>
      </w:r>
      <w:r>
        <w:t>60</w:t>
      </w:r>
      <w:r>
        <w:t>岁及以上非网民群体占非网民总体的比例为</w:t>
      </w:r>
      <w:r>
        <w:rPr>
          <w:rFonts w:hint="eastAsia"/>
        </w:rPr>
        <w:t>62.0</w:t>
      </w:r>
      <w:r>
        <w:t>%</w:t>
      </w:r>
      <w:r>
        <w:t>。</w:t>
      </w:r>
    </w:p>
    <w:p w14:paraId="7B141906" w14:textId="77777777" w:rsidR="008810A2" w:rsidRDefault="00D921E0">
      <w:pPr>
        <w:ind w:firstLineChars="0" w:firstLine="420"/>
      </w:pPr>
      <w:r>
        <w:rPr>
          <w:rFonts w:hint="eastAsia"/>
        </w:rPr>
        <w:t>非网民</w:t>
      </w:r>
      <w:proofErr w:type="gramStart"/>
      <w:r>
        <w:rPr>
          <w:rFonts w:hint="eastAsia"/>
        </w:rPr>
        <w:t>不</w:t>
      </w:r>
      <w:proofErr w:type="gramEnd"/>
      <w:r>
        <w:rPr>
          <w:rFonts w:hint="eastAsia"/>
        </w:rPr>
        <w:t>上网带来的生活不便，主要是买东西不方便和办事、缴费很困难，所占比例分别为</w:t>
      </w:r>
      <w:r>
        <w:rPr>
          <w:rFonts w:hint="eastAsia"/>
        </w:rPr>
        <w:t>9.8%</w:t>
      </w:r>
      <w:r>
        <w:rPr>
          <w:rFonts w:hint="eastAsia"/>
        </w:rPr>
        <w:t>和</w:t>
      </w:r>
      <w:r>
        <w:rPr>
          <w:rFonts w:hint="eastAsia"/>
        </w:rPr>
        <w:t>9.4%</w:t>
      </w:r>
      <w:r>
        <w:rPr>
          <w:rFonts w:hint="eastAsia"/>
        </w:rPr>
        <w:t>；看病、挂号、买药难和缺少休闲娱乐活动，以及很难和家人朋友联系等不便捷原因相差不多，所占比例均在</w:t>
      </w:r>
      <w:r>
        <w:rPr>
          <w:rFonts w:hint="eastAsia"/>
        </w:rPr>
        <w:t>7%-8%</w:t>
      </w:r>
      <w:r>
        <w:rPr>
          <w:rFonts w:hint="eastAsia"/>
        </w:rPr>
        <w:t>之间；很难买到火车票、飞机票，很难打到车等特定需求不便，占比均不到</w:t>
      </w:r>
      <w:r>
        <w:rPr>
          <w:rFonts w:hint="eastAsia"/>
        </w:rPr>
        <w:t>5%</w:t>
      </w:r>
      <w:r>
        <w:rPr>
          <w:rFonts w:hint="eastAsia"/>
        </w:rPr>
        <w:t>。</w:t>
      </w:r>
    </w:p>
    <w:p w14:paraId="4D1100C7" w14:textId="77777777" w:rsidR="008810A2" w:rsidRDefault="00D921E0">
      <w:pPr>
        <w:spacing w:beforeLines="50" w:before="156"/>
        <w:ind w:firstLineChars="0" w:firstLine="0"/>
        <w:jc w:val="center"/>
      </w:pPr>
      <w:r>
        <w:rPr>
          <w:i/>
          <w:iCs/>
          <w:noProof/>
          <w:color w:val="000000" w:themeColor="text1"/>
        </w:rPr>
        <w:lastRenderedPageBreak/>
        <w:drawing>
          <wp:inline distT="0" distB="0" distL="0" distR="0" wp14:anchorId="4CCD7EC2" wp14:editId="0284AFFF">
            <wp:extent cx="5243195" cy="3028315"/>
            <wp:effectExtent l="0" t="0" r="14605" b="635"/>
            <wp:docPr id="986201796" name="图表 9862017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057A70A" w14:textId="0A5225A3" w:rsidR="008810A2" w:rsidRDefault="00D921E0" w:rsidP="002B0D05">
      <w:pPr>
        <w:pStyle w:val="a4"/>
      </w:pPr>
      <w:r>
        <w:rPr>
          <w:rFonts w:eastAsia="宋体"/>
        </w:rPr>
        <w:t>图</w:t>
      </w:r>
      <w:r>
        <w:rPr>
          <w:rFonts w:eastAsia="宋体"/>
        </w:rPr>
        <w:t xml:space="preserve"> </w:t>
      </w:r>
      <w:r>
        <w:fldChar w:fldCharType="begin"/>
      </w:r>
      <w:r>
        <w:instrText xml:space="preserve"> SEQ </w:instrText>
      </w:r>
      <w:r>
        <w:instrText>图</w:instrText>
      </w:r>
      <w:r>
        <w:instrText xml:space="preserve"> \* ARABIC </w:instrText>
      </w:r>
      <w:r>
        <w:fldChar w:fldCharType="separate"/>
      </w:r>
      <w:r w:rsidR="00A057C8">
        <w:rPr>
          <w:noProof/>
        </w:rPr>
        <w:t>16</w:t>
      </w:r>
      <w:r>
        <w:fldChar w:fldCharType="end"/>
      </w:r>
      <w:r>
        <w:t xml:space="preserve">  </w:t>
      </w:r>
      <w:r>
        <w:rPr>
          <w:rFonts w:eastAsia="宋体"/>
        </w:rPr>
        <w:t>非网民</w:t>
      </w:r>
      <w:proofErr w:type="gramStart"/>
      <w:r>
        <w:rPr>
          <w:rFonts w:eastAsia="宋体"/>
        </w:rPr>
        <w:t>不</w:t>
      </w:r>
      <w:proofErr w:type="gramEnd"/>
      <w:r>
        <w:rPr>
          <w:rFonts w:eastAsia="宋体"/>
        </w:rPr>
        <w:t>上网带来的生活不便</w:t>
      </w:r>
    </w:p>
    <w:p w14:paraId="5DAFEED1" w14:textId="77777777" w:rsidR="008810A2" w:rsidRDefault="00D921E0">
      <w:pPr>
        <w:ind w:firstLineChars="0" w:firstLine="420"/>
      </w:pPr>
      <w:r>
        <w:t>使用技能缺乏、文化程度限制、设备不足和年龄因素是非网民</w:t>
      </w:r>
      <w:proofErr w:type="gramStart"/>
      <w:r>
        <w:t>不</w:t>
      </w:r>
      <w:proofErr w:type="gramEnd"/>
      <w:r>
        <w:t>上网的主要原因。因为</w:t>
      </w:r>
      <w:r>
        <w:rPr>
          <w:rFonts w:ascii="宋体" w:hAnsi="宋体"/>
        </w:rPr>
        <w:t>“</w:t>
      </w:r>
      <w:r>
        <w:t>不懂电脑</w:t>
      </w:r>
      <w:r>
        <w:t>/</w:t>
      </w:r>
      <w:r>
        <w:t>网络</w:t>
      </w:r>
      <w:r>
        <w:rPr>
          <w:rFonts w:ascii="宋体" w:hAnsi="宋体"/>
        </w:rPr>
        <w:t>”</w:t>
      </w:r>
      <w:r>
        <w:t>而</w:t>
      </w:r>
      <w:proofErr w:type="gramStart"/>
      <w:r>
        <w:t>不</w:t>
      </w:r>
      <w:proofErr w:type="gramEnd"/>
      <w:r>
        <w:t>上网的非网民占比为</w:t>
      </w:r>
      <w:r>
        <w:rPr>
          <w:rFonts w:hint="eastAsia"/>
        </w:rPr>
        <w:t>49</w:t>
      </w:r>
      <w:r>
        <w:t>.</w:t>
      </w:r>
      <w:r>
        <w:rPr>
          <w:rFonts w:hint="eastAsia"/>
        </w:rPr>
        <w:t>0</w:t>
      </w:r>
      <w:r>
        <w:t>%</w:t>
      </w:r>
      <w:r>
        <w:t>；因为</w:t>
      </w:r>
      <w:r>
        <w:rPr>
          <w:rFonts w:ascii="宋体" w:hAnsi="宋体"/>
        </w:rPr>
        <w:t>“</w:t>
      </w:r>
      <w:r>
        <w:t>不懂拼音等文化程度限制</w:t>
      </w:r>
      <w:r>
        <w:rPr>
          <w:rFonts w:ascii="宋体" w:hAnsi="宋体"/>
        </w:rPr>
        <w:t>”</w:t>
      </w:r>
      <w:r>
        <w:t>而</w:t>
      </w:r>
      <w:proofErr w:type="gramStart"/>
      <w:r>
        <w:t>不</w:t>
      </w:r>
      <w:proofErr w:type="gramEnd"/>
      <w:r>
        <w:t>上网的非网民占比为</w:t>
      </w:r>
      <w:r>
        <w:t>27.</w:t>
      </w:r>
      <w:r>
        <w:rPr>
          <w:rFonts w:hint="eastAsia"/>
        </w:rPr>
        <w:t>6</w:t>
      </w:r>
      <w:r>
        <w:t>%</w:t>
      </w:r>
      <w:r>
        <w:t>；因为</w:t>
      </w:r>
      <w:r>
        <w:rPr>
          <w:rFonts w:ascii="宋体" w:hAnsi="宋体"/>
        </w:rPr>
        <w:t>“</w:t>
      </w:r>
      <w:r>
        <w:t>没有电脑等上网设备</w:t>
      </w:r>
      <w:r>
        <w:rPr>
          <w:rFonts w:ascii="宋体" w:hAnsi="宋体"/>
        </w:rPr>
        <w:t>”</w:t>
      </w:r>
      <w:r>
        <w:t>而</w:t>
      </w:r>
      <w:proofErr w:type="gramStart"/>
      <w:r>
        <w:t>不</w:t>
      </w:r>
      <w:proofErr w:type="gramEnd"/>
      <w:r>
        <w:t>上网的非网民占比为</w:t>
      </w:r>
      <w:r>
        <w:t>1</w:t>
      </w:r>
      <w:r>
        <w:rPr>
          <w:rFonts w:hint="eastAsia"/>
        </w:rPr>
        <w:t>9</w:t>
      </w:r>
      <w:r>
        <w:t>.</w:t>
      </w:r>
      <w:r>
        <w:rPr>
          <w:rFonts w:hint="eastAsia"/>
        </w:rPr>
        <w:t>0</w:t>
      </w:r>
      <w:r>
        <w:t>%</w:t>
      </w:r>
      <w:r>
        <w:t>；因为</w:t>
      </w:r>
      <w:r>
        <w:rPr>
          <w:rFonts w:ascii="宋体" w:hAnsi="宋体"/>
        </w:rPr>
        <w:t>“</w:t>
      </w:r>
      <w:r>
        <w:t>年龄太大</w:t>
      </w:r>
      <w:r>
        <w:t>/</w:t>
      </w:r>
      <w:r>
        <w:t>太小</w:t>
      </w:r>
      <w:r>
        <w:rPr>
          <w:rFonts w:ascii="宋体" w:hAnsi="宋体"/>
        </w:rPr>
        <w:t>”</w:t>
      </w:r>
      <w:r>
        <w:t>而</w:t>
      </w:r>
      <w:proofErr w:type="gramStart"/>
      <w:r>
        <w:t>不</w:t>
      </w:r>
      <w:proofErr w:type="gramEnd"/>
      <w:r>
        <w:t>上网的非网民占比为</w:t>
      </w:r>
      <w:r>
        <w:rPr>
          <w:rFonts w:hint="eastAsia"/>
        </w:rPr>
        <w:t>15</w:t>
      </w:r>
      <w:r>
        <w:t>.</w:t>
      </w:r>
      <w:r>
        <w:rPr>
          <w:rFonts w:hint="eastAsia"/>
        </w:rPr>
        <w:t>3</w:t>
      </w:r>
      <w:r>
        <w:t>%</w:t>
      </w:r>
      <w:r>
        <w:t>。</w:t>
      </w:r>
    </w:p>
    <w:p w14:paraId="4169AD01" w14:textId="77777777" w:rsidR="008810A2" w:rsidRDefault="00D921E0" w:rsidP="002B0D05">
      <w:pPr>
        <w:pStyle w:val="a4"/>
        <w:rPr>
          <w:rFonts w:eastAsia="宋体"/>
        </w:rPr>
      </w:pPr>
      <w:r>
        <w:rPr>
          <w:noProof/>
        </w:rPr>
        <w:drawing>
          <wp:inline distT="0" distB="0" distL="0" distR="0" wp14:anchorId="3760831C" wp14:editId="0C9288DE">
            <wp:extent cx="5248910" cy="2516505"/>
            <wp:effectExtent l="0" t="0" r="8890" b="10795"/>
            <wp:docPr id="1955632162" name="图表 1955632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1EDA7B" w14:textId="178CA9D9" w:rsidR="008810A2" w:rsidRDefault="00D921E0" w:rsidP="002B0D05">
      <w:pPr>
        <w:pStyle w:val="a4"/>
        <w:rPr>
          <w:rFonts w:eastAsia="宋体"/>
        </w:rPr>
      </w:pPr>
      <w:r>
        <w:rPr>
          <w:rFonts w:eastAsia="宋体"/>
        </w:rPr>
        <w:t>图</w:t>
      </w:r>
      <w:r>
        <w:rPr>
          <w:rFonts w:eastAsia="宋体"/>
        </w:rPr>
        <w:t xml:space="preserve"> </w:t>
      </w:r>
      <w:r>
        <w:fldChar w:fldCharType="begin"/>
      </w:r>
      <w:r>
        <w:instrText xml:space="preserve"> SEQ </w:instrText>
      </w:r>
      <w:r>
        <w:instrText>图</w:instrText>
      </w:r>
      <w:r>
        <w:instrText xml:space="preserve"> \* ARABIC </w:instrText>
      </w:r>
      <w:r>
        <w:fldChar w:fldCharType="separate"/>
      </w:r>
      <w:r w:rsidR="00A057C8">
        <w:rPr>
          <w:noProof/>
        </w:rPr>
        <w:t>17</w:t>
      </w:r>
      <w:r>
        <w:fldChar w:fldCharType="end"/>
      </w:r>
      <w:r>
        <w:t xml:space="preserve">  </w:t>
      </w:r>
      <w:r>
        <w:rPr>
          <w:rFonts w:eastAsia="宋体"/>
        </w:rPr>
        <w:t>非网民</w:t>
      </w:r>
      <w:proofErr w:type="gramStart"/>
      <w:r>
        <w:rPr>
          <w:rFonts w:eastAsia="宋体"/>
        </w:rPr>
        <w:t>不</w:t>
      </w:r>
      <w:proofErr w:type="gramEnd"/>
      <w:r>
        <w:rPr>
          <w:rFonts w:eastAsia="宋体"/>
        </w:rPr>
        <w:t>上网原因</w:t>
      </w:r>
    </w:p>
    <w:p w14:paraId="50B04F5D" w14:textId="77777777" w:rsidR="008810A2" w:rsidRDefault="00D921E0">
      <w:pPr>
        <w:ind w:firstLineChars="0" w:firstLine="420"/>
      </w:pPr>
      <w:r>
        <w:t>促进非网民上网的首要因素是</w:t>
      </w:r>
      <w:r>
        <w:rPr>
          <w:rFonts w:ascii="宋体" w:hAnsi="宋体"/>
        </w:rPr>
        <w:t>“</w:t>
      </w:r>
      <w:r>
        <w:rPr>
          <w:rFonts w:hint="eastAsia"/>
        </w:rPr>
        <w:t>方便与家人或亲属沟通联系</w:t>
      </w:r>
      <w:r>
        <w:rPr>
          <w:rFonts w:ascii="宋体" w:hAnsi="宋体"/>
        </w:rPr>
        <w:t>”</w:t>
      </w:r>
      <w:r>
        <w:rPr>
          <w:rFonts w:ascii="宋体" w:hAnsi="宋体" w:hint="eastAsia"/>
        </w:rPr>
        <w:t>，</w:t>
      </w:r>
      <w:r>
        <w:t>占比为</w:t>
      </w:r>
      <w:r>
        <w:t>2</w:t>
      </w:r>
      <w:r>
        <w:rPr>
          <w:rFonts w:hint="eastAsia"/>
        </w:rPr>
        <w:t>2</w:t>
      </w:r>
      <w:r>
        <w:t>.9%</w:t>
      </w:r>
      <w:r>
        <w:t>；</w:t>
      </w:r>
      <w:r>
        <w:rPr>
          <w:rFonts w:hint="eastAsia"/>
        </w:rPr>
        <w:t>“提供可以无障碍使用的上网设备”</w:t>
      </w:r>
      <w:r>
        <w:t>是促进非网民上网的第二大因素，占比为</w:t>
      </w:r>
      <w:r>
        <w:rPr>
          <w:rFonts w:hint="eastAsia"/>
        </w:rPr>
        <w:t>22</w:t>
      </w:r>
      <w:r>
        <w:t>.</w:t>
      </w:r>
      <w:r>
        <w:rPr>
          <w:rFonts w:hint="eastAsia"/>
        </w:rPr>
        <w:t>3</w:t>
      </w:r>
      <w:r>
        <w:t>%</w:t>
      </w:r>
      <w:r>
        <w:t>；</w:t>
      </w:r>
      <w:r>
        <w:rPr>
          <w:rFonts w:ascii="宋体" w:hAnsi="宋体"/>
        </w:rPr>
        <w:t>“</w:t>
      </w:r>
      <w:r>
        <w:rPr>
          <w:rFonts w:ascii="宋体" w:hAnsi="宋体" w:hint="eastAsia"/>
        </w:rPr>
        <w:t>提供免费上网培训指导</w:t>
      </w:r>
      <w:r>
        <w:rPr>
          <w:rFonts w:ascii="宋体" w:hAnsi="宋体"/>
        </w:rPr>
        <w:t>”</w:t>
      </w:r>
      <w:r>
        <w:t>是促进非网民上网的第三大因素，占比为</w:t>
      </w:r>
      <w:r>
        <w:t>2</w:t>
      </w:r>
      <w:r>
        <w:rPr>
          <w:rFonts w:hint="eastAsia"/>
        </w:rPr>
        <w:t>0</w:t>
      </w:r>
      <w:r>
        <w:t>.</w:t>
      </w:r>
      <w:r>
        <w:rPr>
          <w:rFonts w:hint="eastAsia"/>
        </w:rPr>
        <w:t>1</w:t>
      </w:r>
      <w:r>
        <w:t>%</w:t>
      </w:r>
      <w:r>
        <w:t>。</w:t>
      </w:r>
    </w:p>
    <w:p w14:paraId="16E182D9" w14:textId="77777777" w:rsidR="008810A2" w:rsidRDefault="00D921E0">
      <w:pPr>
        <w:spacing w:beforeLines="50" w:before="156"/>
        <w:ind w:firstLineChars="0" w:firstLine="0"/>
        <w:jc w:val="center"/>
      </w:pPr>
      <w:r>
        <w:rPr>
          <w:i/>
          <w:iCs/>
          <w:noProof/>
          <w:color w:val="000000" w:themeColor="text1"/>
        </w:rPr>
        <w:lastRenderedPageBreak/>
        <w:drawing>
          <wp:inline distT="0" distB="0" distL="0" distR="0" wp14:anchorId="6C995FE6" wp14:editId="5300DDAF">
            <wp:extent cx="5248910" cy="2764790"/>
            <wp:effectExtent l="0" t="0" r="8890" b="16510"/>
            <wp:docPr id="1345973928" name="图表 1345973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656D10" w14:textId="549DAEB2" w:rsidR="008810A2" w:rsidRDefault="00D921E0" w:rsidP="002B0D05">
      <w:pPr>
        <w:pStyle w:val="a4"/>
      </w:pPr>
      <w:r>
        <w:rPr>
          <w:rFonts w:eastAsia="宋体"/>
        </w:rPr>
        <w:t>图</w:t>
      </w:r>
      <w:r>
        <w:rPr>
          <w:rFonts w:eastAsia="宋体"/>
        </w:rPr>
        <w:t xml:space="preserve"> </w:t>
      </w:r>
      <w:r>
        <w:fldChar w:fldCharType="begin"/>
      </w:r>
      <w:r>
        <w:instrText xml:space="preserve"> SEQ </w:instrText>
      </w:r>
      <w:r>
        <w:instrText>图</w:instrText>
      </w:r>
      <w:r>
        <w:instrText xml:space="preserve"> \* ARABIC </w:instrText>
      </w:r>
      <w:r>
        <w:fldChar w:fldCharType="separate"/>
      </w:r>
      <w:r w:rsidR="00A057C8">
        <w:rPr>
          <w:noProof/>
        </w:rPr>
        <w:t>18</w:t>
      </w:r>
      <w:r>
        <w:fldChar w:fldCharType="end"/>
      </w:r>
      <w:r>
        <w:t xml:space="preserve">  </w:t>
      </w:r>
      <w:r>
        <w:rPr>
          <w:rFonts w:eastAsia="宋体"/>
        </w:rPr>
        <w:t>非网民上网促进因素</w:t>
      </w:r>
    </w:p>
    <w:p w14:paraId="2215DB6D" w14:textId="77777777" w:rsidR="008810A2" w:rsidRDefault="00D921E0">
      <w:pPr>
        <w:keepNext/>
        <w:keepLines/>
        <w:numPr>
          <w:ilvl w:val="0"/>
          <w:numId w:val="7"/>
        </w:numPr>
        <w:topLinePunct/>
        <w:snapToGrid w:val="0"/>
        <w:spacing w:before="400" w:after="300" w:line="312" w:lineRule="auto"/>
        <w:ind w:firstLineChars="0"/>
        <w:outlineLvl w:val="1"/>
        <w:rPr>
          <w:rFonts w:eastAsia="黑体"/>
          <w:color w:val="000000" w:themeColor="text1"/>
          <w:sz w:val="36"/>
          <w:szCs w:val="36"/>
        </w:rPr>
      </w:pPr>
      <w:bookmarkStart w:id="190" w:name="_Toc175065704"/>
      <w:r>
        <w:rPr>
          <w:rFonts w:eastAsia="黑体"/>
          <w:color w:val="000000" w:themeColor="text1"/>
          <w:sz w:val="36"/>
          <w:szCs w:val="36"/>
        </w:rPr>
        <w:t>网民结构</w:t>
      </w:r>
      <w:r>
        <w:rPr>
          <w:rFonts w:eastAsia="黑体" w:hint="eastAsia"/>
          <w:color w:val="000000" w:themeColor="text1"/>
          <w:sz w:val="36"/>
          <w:szCs w:val="36"/>
        </w:rPr>
        <w:t>及上网设备</w:t>
      </w:r>
      <w:bookmarkEnd w:id="190"/>
    </w:p>
    <w:p w14:paraId="3B8FAB8E" w14:textId="77777777" w:rsidR="008810A2" w:rsidRDefault="00D921E0">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191" w:name="_Toc162170535"/>
      <w:bookmarkStart w:id="192" w:name="_Toc175065705"/>
      <w:r>
        <w:rPr>
          <w:rFonts w:eastAsia="楷体_GB2312"/>
          <w:color w:val="000000" w:themeColor="text1"/>
          <w:sz w:val="30"/>
          <w:szCs w:val="30"/>
        </w:rPr>
        <w:t>性别结构</w:t>
      </w:r>
      <w:bookmarkEnd w:id="191"/>
      <w:bookmarkEnd w:id="192"/>
    </w:p>
    <w:p w14:paraId="11B540F4" w14:textId="77777777" w:rsidR="008810A2" w:rsidRDefault="00D921E0">
      <w:pPr>
        <w:ind w:firstLine="420"/>
        <w:rPr>
          <w:bCs/>
        </w:rPr>
      </w:pPr>
      <w:r>
        <w:t>截至</w:t>
      </w:r>
      <w:r>
        <w:t>2024</w:t>
      </w:r>
      <w:r>
        <w:t>年</w:t>
      </w:r>
      <w:r>
        <w:t>6</w:t>
      </w:r>
      <w:r>
        <w:t>月，我国网民男女比例为</w:t>
      </w:r>
      <w:r>
        <w:t>50.8</w:t>
      </w:r>
      <w:r>
        <w:rPr>
          <w:rFonts w:hint="eastAsia"/>
        </w:rPr>
        <w:t>:</w:t>
      </w:r>
      <w:r>
        <w:t>49.2</w:t>
      </w:r>
      <w:r>
        <w:t>，与整体人口中男女比例基本一致</w:t>
      </w:r>
      <w:r>
        <w:rPr>
          <w:bCs/>
        </w:rPr>
        <w:t>。</w:t>
      </w:r>
    </w:p>
    <w:p w14:paraId="7189865D" w14:textId="77777777" w:rsidR="008810A2" w:rsidRDefault="00D921E0">
      <w:pPr>
        <w:spacing w:beforeLines="50" w:before="156"/>
        <w:ind w:firstLineChars="0" w:firstLine="0"/>
        <w:jc w:val="center"/>
        <w:rPr>
          <w:bCs/>
        </w:rPr>
      </w:pPr>
      <w:r>
        <w:rPr>
          <w:noProof/>
          <w:color w:val="000000" w:themeColor="text1"/>
        </w:rPr>
        <w:drawing>
          <wp:inline distT="0" distB="0" distL="0" distR="0" wp14:anchorId="63456866" wp14:editId="78C30B7C">
            <wp:extent cx="5248910" cy="2374900"/>
            <wp:effectExtent l="0" t="0" r="8890" b="6350"/>
            <wp:docPr id="2143748209" name="图表 2143748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3F480B1" w14:textId="3AD38E83" w:rsidR="008810A2" w:rsidRDefault="00D921E0" w:rsidP="002B0D05">
      <w:pPr>
        <w:pStyle w:val="a4"/>
        <w:rPr>
          <w:rFonts w:eastAsia="宋体"/>
        </w:rPr>
      </w:pPr>
      <w:r>
        <w:rPr>
          <w:rFonts w:eastAsia="宋体"/>
        </w:rP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19</w:t>
      </w:r>
      <w:r>
        <w:fldChar w:fldCharType="end"/>
      </w:r>
      <w:r>
        <w:rPr>
          <w:bCs/>
        </w:rPr>
        <w:t xml:space="preserve">  </w:t>
      </w:r>
      <w:r>
        <w:rPr>
          <w:rFonts w:eastAsia="宋体"/>
        </w:rPr>
        <w:t>网民性别结构</w:t>
      </w:r>
    </w:p>
    <w:p w14:paraId="15F9D727" w14:textId="77777777" w:rsidR="008810A2" w:rsidRDefault="00D921E0">
      <w:pPr>
        <w:widowControl/>
        <w:spacing w:line="240" w:lineRule="auto"/>
        <w:ind w:firstLineChars="0" w:firstLine="0"/>
        <w:jc w:val="left"/>
        <w:rPr>
          <w:rFonts w:eastAsia="楷体_GB2312"/>
          <w:color w:val="000000" w:themeColor="text1"/>
          <w:sz w:val="30"/>
          <w:szCs w:val="30"/>
        </w:rPr>
      </w:pPr>
      <w:bookmarkStart w:id="193" w:name="_Toc162170536"/>
      <w:r>
        <w:rPr>
          <w:rFonts w:eastAsia="楷体_GB2312"/>
          <w:color w:val="000000" w:themeColor="text1"/>
          <w:sz w:val="30"/>
          <w:szCs w:val="30"/>
        </w:rPr>
        <w:br w:type="page"/>
      </w:r>
    </w:p>
    <w:p w14:paraId="2CBFA645" w14:textId="77777777" w:rsidR="008810A2" w:rsidRDefault="00D921E0">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194" w:name="_Toc175065706"/>
      <w:r>
        <w:rPr>
          <w:rFonts w:eastAsia="楷体_GB2312"/>
          <w:color w:val="000000" w:themeColor="text1"/>
          <w:sz w:val="30"/>
          <w:szCs w:val="30"/>
        </w:rPr>
        <w:lastRenderedPageBreak/>
        <w:t>年龄结构</w:t>
      </w:r>
      <w:bookmarkEnd w:id="193"/>
      <w:bookmarkEnd w:id="194"/>
    </w:p>
    <w:p w14:paraId="4F5A7A42" w14:textId="77777777" w:rsidR="008810A2" w:rsidRDefault="00D921E0">
      <w:pPr>
        <w:ind w:firstLine="420"/>
        <w:rPr>
          <w:bCs/>
        </w:rPr>
      </w:pPr>
      <w:r>
        <w:rPr>
          <w:rFonts w:hint="eastAsia"/>
          <w:bCs/>
        </w:rPr>
        <w:t>截至</w:t>
      </w:r>
      <w:r>
        <w:rPr>
          <w:rFonts w:hint="eastAsia"/>
          <w:bCs/>
        </w:rPr>
        <w:t>2024</w:t>
      </w:r>
      <w:r>
        <w:rPr>
          <w:rFonts w:hint="eastAsia"/>
          <w:bCs/>
        </w:rPr>
        <w:t>年</w:t>
      </w:r>
      <w:r>
        <w:rPr>
          <w:rFonts w:hint="eastAsia"/>
          <w:bCs/>
        </w:rPr>
        <w:t>6</w:t>
      </w:r>
      <w:r>
        <w:rPr>
          <w:rFonts w:hint="eastAsia"/>
          <w:bCs/>
        </w:rPr>
        <w:t>月，</w:t>
      </w:r>
      <w:r>
        <w:rPr>
          <w:rFonts w:hint="eastAsia"/>
          <w:bCs/>
        </w:rPr>
        <w:t>1</w:t>
      </w:r>
      <w:r>
        <w:rPr>
          <w:bCs/>
        </w:rPr>
        <w:t>0-19</w:t>
      </w:r>
      <w:r>
        <w:rPr>
          <w:rFonts w:hint="eastAsia"/>
          <w:bCs/>
        </w:rPr>
        <w:t>岁、</w:t>
      </w:r>
      <w:r>
        <w:rPr>
          <w:rFonts w:hint="eastAsia"/>
          <w:bCs/>
        </w:rPr>
        <w:t>20-29</w:t>
      </w:r>
      <w:r>
        <w:rPr>
          <w:rFonts w:hint="eastAsia"/>
          <w:bCs/>
        </w:rPr>
        <w:t>岁、</w:t>
      </w:r>
      <w:r>
        <w:rPr>
          <w:rFonts w:hint="eastAsia"/>
          <w:bCs/>
        </w:rPr>
        <w:t>30-39</w:t>
      </w:r>
      <w:r>
        <w:rPr>
          <w:rFonts w:hint="eastAsia"/>
          <w:bCs/>
        </w:rPr>
        <w:t>岁和</w:t>
      </w:r>
      <w:r>
        <w:rPr>
          <w:rFonts w:hint="eastAsia"/>
          <w:bCs/>
        </w:rPr>
        <w:t>40-49</w:t>
      </w:r>
      <w:r>
        <w:rPr>
          <w:rFonts w:hint="eastAsia"/>
          <w:bCs/>
        </w:rPr>
        <w:t>岁网民占比分别为</w:t>
      </w:r>
      <w:r>
        <w:rPr>
          <w:rFonts w:hint="eastAsia"/>
          <w:bCs/>
        </w:rPr>
        <w:t>1</w:t>
      </w:r>
      <w:r>
        <w:rPr>
          <w:bCs/>
        </w:rPr>
        <w:t>3.6%</w:t>
      </w:r>
      <w:r>
        <w:rPr>
          <w:rFonts w:hint="eastAsia"/>
          <w:bCs/>
        </w:rPr>
        <w:t>、</w:t>
      </w:r>
      <w:r>
        <w:rPr>
          <w:rFonts w:hint="eastAsia"/>
          <w:bCs/>
        </w:rPr>
        <w:t>1</w:t>
      </w:r>
      <w:r>
        <w:rPr>
          <w:bCs/>
        </w:rPr>
        <w:t>3</w:t>
      </w:r>
      <w:r>
        <w:rPr>
          <w:rFonts w:hint="eastAsia"/>
          <w:bCs/>
        </w:rPr>
        <w:t>.5%</w:t>
      </w:r>
      <w:r>
        <w:rPr>
          <w:rFonts w:hint="eastAsia"/>
          <w:bCs/>
        </w:rPr>
        <w:t>、</w:t>
      </w:r>
      <w:r>
        <w:rPr>
          <w:rFonts w:hint="eastAsia"/>
          <w:bCs/>
        </w:rPr>
        <w:t>19.3%</w:t>
      </w:r>
      <w:r>
        <w:rPr>
          <w:rFonts w:hint="eastAsia"/>
          <w:bCs/>
        </w:rPr>
        <w:t>和</w:t>
      </w:r>
      <w:r>
        <w:rPr>
          <w:rFonts w:hint="eastAsia"/>
          <w:bCs/>
        </w:rPr>
        <w:t>1</w:t>
      </w:r>
      <w:r>
        <w:rPr>
          <w:bCs/>
        </w:rPr>
        <w:t>6</w:t>
      </w:r>
      <w:r>
        <w:rPr>
          <w:rFonts w:hint="eastAsia"/>
          <w:bCs/>
        </w:rPr>
        <w:t>.</w:t>
      </w:r>
      <w:r>
        <w:rPr>
          <w:bCs/>
        </w:rPr>
        <w:t>7</w:t>
      </w:r>
      <w:r>
        <w:rPr>
          <w:rFonts w:hint="eastAsia"/>
          <w:bCs/>
        </w:rPr>
        <w:t>%</w:t>
      </w:r>
      <w:r>
        <w:rPr>
          <w:rFonts w:hint="eastAsia"/>
          <w:bCs/>
        </w:rPr>
        <w:t>；</w:t>
      </w:r>
      <w:r>
        <w:rPr>
          <w:rFonts w:hint="eastAsia"/>
          <w:bCs/>
        </w:rPr>
        <w:t>50</w:t>
      </w:r>
      <w:r>
        <w:rPr>
          <w:rFonts w:hint="eastAsia"/>
          <w:bCs/>
        </w:rPr>
        <w:t>岁及以上网民群体占比由</w:t>
      </w:r>
      <w:r>
        <w:rPr>
          <w:rFonts w:hint="eastAsia"/>
          <w:bCs/>
        </w:rPr>
        <w:t>202</w:t>
      </w:r>
      <w:r>
        <w:rPr>
          <w:bCs/>
        </w:rPr>
        <w:t>3</w:t>
      </w:r>
      <w:r>
        <w:rPr>
          <w:rFonts w:hint="eastAsia"/>
          <w:bCs/>
        </w:rPr>
        <w:t>年</w:t>
      </w:r>
      <w:r>
        <w:rPr>
          <w:rFonts w:hint="eastAsia"/>
          <w:bCs/>
        </w:rPr>
        <w:t>12</w:t>
      </w:r>
      <w:r>
        <w:rPr>
          <w:rFonts w:hint="eastAsia"/>
          <w:bCs/>
        </w:rPr>
        <w:t>月的</w:t>
      </w:r>
      <w:r>
        <w:rPr>
          <w:rFonts w:hint="eastAsia"/>
          <w:bCs/>
        </w:rPr>
        <w:t>3</w:t>
      </w:r>
      <w:r>
        <w:rPr>
          <w:bCs/>
        </w:rPr>
        <w:t>2</w:t>
      </w:r>
      <w:r>
        <w:rPr>
          <w:rFonts w:hint="eastAsia"/>
          <w:bCs/>
        </w:rPr>
        <w:t>.</w:t>
      </w:r>
      <w:r>
        <w:rPr>
          <w:bCs/>
        </w:rPr>
        <w:t>5</w:t>
      </w:r>
      <w:r>
        <w:rPr>
          <w:rFonts w:hint="eastAsia"/>
          <w:bCs/>
        </w:rPr>
        <w:t>%</w:t>
      </w:r>
      <w:r>
        <w:rPr>
          <w:rFonts w:hint="eastAsia"/>
          <w:bCs/>
        </w:rPr>
        <w:t>提升至</w:t>
      </w:r>
      <w:r>
        <w:rPr>
          <w:rFonts w:hint="eastAsia"/>
          <w:bCs/>
        </w:rPr>
        <w:t>3</w:t>
      </w:r>
      <w:r>
        <w:rPr>
          <w:bCs/>
        </w:rPr>
        <w:t>3</w:t>
      </w:r>
      <w:r>
        <w:rPr>
          <w:rFonts w:hint="eastAsia"/>
          <w:bCs/>
        </w:rPr>
        <w:t>.</w:t>
      </w:r>
      <w:r>
        <w:rPr>
          <w:bCs/>
        </w:rPr>
        <w:t>3</w:t>
      </w:r>
      <w:r>
        <w:rPr>
          <w:rFonts w:hint="eastAsia"/>
          <w:bCs/>
        </w:rPr>
        <w:t>%</w:t>
      </w:r>
      <w:r>
        <w:rPr>
          <w:rFonts w:hint="eastAsia"/>
          <w:bCs/>
        </w:rPr>
        <w:t>，互联网进一步向中老年群体渗透</w:t>
      </w:r>
      <w:r>
        <w:rPr>
          <w:bCs/>
        </w:rPr>
        <w:t>。</w:t>
      </w:r>
    </w:p>
    <w:p w14:paraId="5D1123F8" w14:textId="77777777" w:rsidR="008810A2" w:rsidRDefault="00D921E0">
      <w:pPr>
        <w:spacing w:beforeLines="50" w:before="156"/>
        <w:ind w:firstLineChars="0" w:firstLine="0"/>
        <w:rPr>
          <w:bCs/>
        </w:rPr>
      </w:pPr>
      <w:r>
        <w:rPr>
          <w:noProof/>
        </w:rPr>
        <w:drawing>
          <wp:inline distT="0" distB="0" distL="0" distR="0" wp14:anchorId="6D9C8C9B" wp14:editId="29CAFA31">
            <wp:extent cx="5067300" cy="2217420"/>
            <wp:effectExtent l="0" t="0" r="0" b="11430"/>
            <wp:docPr id="60247134" name="图表 60247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9DD3CE" w14:textId="71413278" w:rsidR="008810A2" w:rsidRDefault="00D921E0" w:rsidP="002B0D05">
      <w:pPr>
        <w:pStyle w:val="a4"/>
        <w:rPr>
          <w:rFonts w:eastAsia="宋体"/>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57C8">
        <w:rPr>
          <w:noProof/>
        </w:rPr>
        <w:t>20</w:t>
      </w:r>
      <w:r>
        <w:fldChar w:fldCharType="end"/>
      </w:r>
      <w:r>
        <w:t xml:space="preserve">  </w:t>
      </w:r>
      <w:r>
        <w:rPr>
          <w:rFonts w:eastAsia="宋体"/>
        </w:rPr>
        <w:t>网民年龄结构</w:t>
      </w:r>
    </w:p>
    <w:p w14:paraId="42D3898F" w14:textId="77777777" w:rsidR="008810A2" w:rsidRDefault="00D921E0">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195" w:name="_Toc175065707"/>
      <w:r>
        <w:rPr>
          <w:rFonts w:eastAsia="楷体_GB2312" w:hint="eastAsia"/>
          <w:color w:val="000000" w:themeColor="text1"/>
          <w:sz w:val="30"/>
          <w:szCs w:val="30"/>
        </w:rPr>
        <w:t>上网设备</w:t>
      </w:r>
      <w:bookmarkEnd w:id="195"/>
    </w:p>
    <w:p w14:paraId="48511960" w14:textId="77777777" w:rsidR="008810A2" w:rsidRDefault="00D921E0">
      <w:pPr>
        <w:ind w:firstLine="420"/>
        <w:rPr>
          <w:bCs/>
        </w:rPr>
      </w:pPr>
      <w:r>
        <w:rPr>
          <w:noProof/>
        </w:rPr>
        <w:drawing>
          <wp:anchor distT="0" distB="0" distL="114300" distR="114300" simplePos="0" relativeHeight="251672576" behindDoc="0" locked="0" layoutInCell="1" allowOverlap="1" wp14:anchorId="6AECE238" wp14:editId="1CAF75EF">
            <wp:simplePos x="0" y="0"/>
            <wp:positionH relativeFrom="column">
              <wp:posOffset>-455295</wp:posOffset>
            </wp:positionH>
            <wp:positionV relativeFrom="paragraph">
              <wp:posOffset>1293495</wp:posOffset>
            </wp:positionV>
            <wp:extent cx="6195060" cy="2354580"/>
            <wp:effectExtent l="0" t="0" r="15240" b="7620"/>
            <wp:wrapSquare wrapText="bothSides"/>
            <wp:docPr id="543284475" name="图表 543284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Pr>
          <w:rFonts w:hint="eastAsia"/>
          <w:bCs/>
        </w:rPr>
        <w:t>截至</w:t>
      </w:r>
      <w:r>
        <w:rPr>
          <w:rFonts w:hint="eastAsia"/>
          <w:bCs/>
        </w:rPr>
        <w:t>2024</w:t>
      </w:r>
      <w:r>
        <w:rPr>
          <w:rFonts w:hint="eastAsia"/>
          <w:bCs/>
        </w:rPr>
        <w:t>年</w:t>
      </w:r>
      <w:r>
        <w:rPr>
          <w:rFonts w:hint="eastAsia"/>
          <w:bCs/>
        </w:rPr>
        <w:t>6</w:t>
      </w:r>
      <w:r>
        <w:rPr>
          <w:rFonts w:hint="eastAsia"/>
          <w:bCs/>
        </w:rPr>
        <w:t>月，我国网民使用手机上网的比例达</w:t>
      </w:r>
      <w:r>
        <w:rPr>
          <w:rFonts w:hint="eastAsia"/>
          <w:bCs/>
        </w:rPr>
        <w:t>99.</w:t>
      </w:r>
      <w:r>
        <w:rPr>
          <w:bCs/>
        </w:rPr>
        <w:t>7</w:t>
      </w:r>
      <w:r>
        <w:rPr>
          <w:rFonts w:hint="eastAsia"/>
          <w:bCs/>
        </w:rPr>
        <w:t>%</w:t>
      </w:r>
      <w:r>
        <w:rPr>
          <w:rFonts w:hint="eastAsia"/>
          <w:bCs/>
        </w:rPr>
        <w:t>；使用台式电脑、笔记本电脑、电视和平板电脑上网的比例分别为</w:t>
      </w:r>
      <w:r>
        <w:rPr>
          <w:rFonts w:hint="eastAsia"/>
          <w:bCs/>
        </w:rPr>
        <w:t>34.2%</w:t>
      </w:r>
      <w:r>
        <w:rPr>
          <w:rFonts w:hint="eastAsia"/>
          <w:bCs/>
        </w:rPr>
        <w:t>、</w:t>
      </w:r>
      <w:r>
        <w:rPr>
          <w:rFonts w:hint="eastAsia"/>
          <w:bCs/>
        </w:rPr>
        <w:t>32.4%</w:t>
      </w:r>
      <w:r>
        <w:rPr>
          <w:rFonts w:hint="eastAsia"/>
          <w:bCs/>
        </w:rPr>
        <w:t>、</w:t>
      </w:r>
      <w:r>
        <w:rPr>
          <w:rFonts w:hint="eastAsia"/>
          <w:bCs/>
        </w:rPr>
        <w:t>25.2%</w:t>
      </w:r>
      <w:r>
        <w:rPr>
          <w:rFonts w:hint="eastAsia"/>
          <w:bCs/>
        </w:rPr>
        <w:t>和</w:t>
      </w:r>
      <w:r>
        <w:rPr>
          <w:rFonts w:hint="eastAsia"/>
          <w:bCs/>
        </w:rPr>
        <w:t>30.5%</w:t>
      </w:r>
      <w:r>
        <w:rPr>
          <w:rFonts w:hint="eastAsia"/>
          <w:bCs/>
        </w:rPr>
        <w:t>；使用智能网联汽车、智能家居设备和个人可穿戴设备上网的比例分别为</w:t>
      </w:r>
      <w:r>
        <w:rPr>
          <w:rFonts w:hint="eastAsia"/>
          <w:bCs/>
        </w:rPr>
        <w:t>10.4%</w:t>
      </w:r>
      <w:r>
        <w:rPr>
          <w:rFonts w:hint="eastAsia"/>
          <w:bCs/>
        </w:rPr>
        <w:t>、</w:t>
      </w:r>
      <w:r>
        <w:rPr>
          <w:rFonts w:hint="eastAsia"/>
          <w:bCs/>
        </w:rPr>
        <w:t>21.9%</w:t>
      </w:r>
      <w:r>
        <w:rPr>
          <w:rFonts w:hint="eastAsia"/>
          <w:bCs/>
        </w:rPr>
        <w:t>和</w:t>
      </w:r>
      <w:r>
        <w:rPr>
          <w:rFonts w:hint="eastAsia"/>
          <w:bCs/>
        </w:rPr>
        <w:t>24.2%</w:t>
      </w:r>
      <w:r>
        <w:rPr>
          <w:rFonts w:hint="eastAsia"/>
          <w:bCs/>
        </w:rPr>
        <w:t>，其中，使用智能网联汽车上网的网民规模达到</w:t>
      </w:r>
      <w:r>
        <w:rPr>
          <w:rFonts w:hint="eastAsia"/>
          <w:bCs/>
        </w:rPr>
        <w:t>1.15</w:t>
      </w:r>
      <w:r>
        <w:rPr>
          <w:rFonts w:hint="eastAsia"/>
          <w:bCs/>
        </w:rPr>
        <w:t>亿人</w:t>
      </w:r>
      <w:r>
        <w:rPr>
          <w:bCs/>
        </w:rPr>
        <w:t>。</w:t>
      </w:r>
    </w:p>
    <w:p w14:paraId="6A475D53" w14:textId="35B42075" w:rsidR="008810A2" w:rsidRDefault="00D921E0">
      <w:pPr>
        <w:ind w:firstLine="420"/>
        <w:jc w:val="center"/>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21</w:t>
      </w:r>
      <w:r>
        <w:fldChar w:fldCharType="end"/>
      </w:r>
      <w:r>
        <w:rPr>
          <w:bCs/>
        </w:rPr>
        <w:t xml:space="preserve">  </w:t>
      </w:r>
      <w:r>
        <w:rPr>
          <w:rFonts w:hint="eastAsia"/>
        </w:rPr>
        <w:t>互联网接入设备使用情况</w:t>
      </w:r>
    </w:p>
    <w:p w14:paraId="4ED4371B" w14:textId="77777777" w:rsidR="008810A2" w:rsidRDefault="00D921E0">
      <w:pPr>
        <w:keepNext/>
        <w:keepLines/>
        <w:numPr>
          <w:ilvl w:val="0"/>
          <w:numId w:val="7"/>
        </w:numPr>
        <w:topLinePunct/>
        <w:snapToGrid w:val="0"/>
        <w:spacing w:before="400" w:after="300" w:line="312" w:lineRule="auto"/>
        <w:ind w:firstLineChars="0"/>
        <w:outlineLvl w:val="1"/>
        <w:rPr>
          <w:rFonts w:eastAsia="黑体"/>
          <w:color w:val="000000" w:themeColor="text1"/>
          <w:sz w:val="36"/>
          <w:szCs w:val="36"/>
        </w:rPr>
      </w:pPr>
      <w:bookmarkStart w:id="196" w:name="_Toc175065708"/>
      <w:r>
        <w:rPr>
          <w:rFonts w:eastAsia="黑体"/>
          <w:color w:val="000000" w:themeColor="text1"/>
          <w:sz w:val="36"/>
          <w:szCs w:val="36"/>
        </w:rPr>
        <w:lastRenderedPageBreak/>
        <w:t>网民数字素养与技能发展状况</w:t>
      </w:r>
      <w:bookmarkEnd w:id="196"/>
    </w:p>
    <w:p w14:paraId="3E52ED9C" w14:textId="77777777" w:rsidR="008810A2" w:rsidRDefault="00D921E0">
      <w:pPr>
        <w:ind w:firstLine="420"/>
        <w:rPr>
          <w:color w:val="000000"/>
          <w:szCs w:val="21"/>
        </w:rPr>
      </w:pPr>
      <w:bookmarkStart w:id="197" w:name="_Toc159233402"/>
      <w:bookmarkStart w:id="198" w:name="_Toc159230019"/>
      <w:bookmarkStart w:id="199" w:name="_Toc159230553"/>
      <w:bookmarkStart w:id="200" w:name="_Toc3927"/>
      <w:bookmarkStart w:id="201" w:name="_Toc130371057"/>
      <w:bookmarkStart w:id="202" w:name="_Toc5378"/>
      <w:bookmarkStart w:id="203" w:name="_Toc19615"/>
      <w:bookmarkStart w:id="204" w:name="_Toc27456"/>
      <w:bookmarkStart w:id="205" w:name="_Toc31005"/>
      <w:bookmarkStart w:id="206" w:name="_Toc456859278"/>
      <w:bookmarkStart w:id="207" w:name="_Toc30699"/>
      <w:bookmarkStart w:id="208" w:name="_Toc376784086"/>
      <w:bookmarkStart w:id="209" w:name="_Toc25315"/>
      <w:bookmarkStart w:id="210" w:name="_Toc14594"/>
      <w:bookmarkStart w:id="211" w:name="_Toc130371079"/>
      <w:bookmarkStart w:id="212" w:name="_Toc314260130"/>
      <w:bookmarkStart w:id="213" w:name="_Toc17484"/>
      <w:bookmarkStart w:id="214" w:name="_Toc345950551"/>
      <w:bookmarkStart w:id="215" w:name="_Toc31362"/>
      <w:bookmarkEnd w:id="178"/>
      <w:bookmarkEnd w:id="179"/>
      <w:bookmarkEnd w:id="180"/>
      <w:bookmarkEnd w:id="181"/>
      <w:bookmarkEnd w:id="182"/>
      <w:bookmarkEnd w:id="183"/>
      <w:bookmarkEnd w:id="184"/>
      <w:bookmarkEnd w:id="185"/>
      <w:bookmarkEnd w:id="197"/>
      <w:bookmarkEnd w:id="198"/>
      <w:bookmarkEnd w:id="199"/>
      <w:r>
        <w:rPr>
          <w:rFonts w:hint="eastAsia"/>
          <w:color w:val="000000"/>
          <w:szCs w:val="21"/>
        </w:rPr>
        <w:t>2024</w:t>
      </w:r>
      <w:r>
        <w:rPr>
          <w:rFonts w:hint="eastAsia"/>
          <w:color w:val="000000"/>
          <w:szCs w:val="21"/>
        </w:rPr>
        <w:t>年上半年，在政策措施的有力推动下，我国网民数字素养与技能</w:t>
      </w:r>
      <w:r>
        <w:rPr>
          <w:rStyle w:val="affe"/>
          <w:color w:val="000000"/>
          <w:szCs w:val="21"/>
        </w:rPr>
        <w:footnoteReference w:id="23"/>
      </w:r>
      <w:r>
        <w:rPr>
          <w:rFonts w:hint="eastAsia"/>
          <w:color w:val="000000"/>
          <w:szCs w:val="21"/>
        </w:rPr>
        <w:t>发展水平持续提升，以人口高质量发展支撑中国式现代化</w:t>
      </w:r>
      <w:r>
        <w:rPr>
          <w:color w:val="000000"/>
          <w:szCs w:val="21"/>
        </w:rPr>
        <w:t>。</w:t>
      </w:r>
    </w:p>
    <w:p w14:paraId="0E725B9B" w14:textId="77777777" w:rsidR="008810A2" w:rsidRDefault="00D921E0">
      <w:pPr>
        <w:ind w:firstLine="422"/>
        <w:rPr>
          <w:color w:val="000000"/>
          <w:szCs w:val="21"/>
        </w:rPr>
      </w:pPr>
      <w:r>
        <w:rPr>
          <w:rFonts w:hint="eastAsia"/>
          <w:b/>
          <w:bCs/>
          <w:color w:val="000000"/>
          <w:szCs w:val="21"/>
        </w:rPr>
        <w:t>一是数字素养与技能提升行动取得新成效。</w:t>
      </w:r>
      <w:r>
        <w:rPr>
          <w:rFonts w:hint="eastAsia"/>
          <w:color w:val="000000"/>
          <w:szCs w:val="21"/>
        </w:rPr>
        <w:t>在国家层面，《</w:t>
      </w:r>
      <w:r>
        <w:rPr>
          <w:rFonts w:hint="eastAsia"/>
          <w:color w:val="000000"/>
          <w:szCs w:val="21"/>
        </w:rPr>
        <w:t>2024</w:t>
      </w:r>
      <w:r>
        <w:rPr>
          <w:rFonts w:hint="eastAsia"/>
          <w:color w:val="000000"/>
          <w:szCs w:val="21"/>
        </w:rPr>
        <w:t>年提升全民数字素养与技能工作要点》《</w:t>
      </w:r>
      <w:r>
        <w:rPr>
          <w:color w:val="000000"/>
          <w:szCs w:val="21"/>
        </w:rPr>
        <w:t>加快数字人才培育支撑数字经济发展行动方案（</w:t>
      </w:r>
      <w:r>
        <w:rPr>
          <w:color w:val="000000"/>
          <w:szCs w:val="21"/>
        </w:rPr>
        <w:t>2024</w:t>
      </w:r>
      <w:r>
        <w:rPr>
          <w:rFonts w:hint="eastAsia"/>
          <w:color w:val="000000"/>
          <w:szCs w:val="21"/>
        </w:rPr>
        <w:t>-</w:t>
      </w:r>
      <w:r>
        <w:rPr>
          <w:color w:val="000000"/>
          <w:szCs w:val="21"/>
        </w:rPr>
        <w:t>2026</w:t>
      </w:r>
      <w:r>
        <w:rPr>
          <w:color w:val="000000"/>
          <w:szCs w:val="21"/>
        </w:rPr>
        <w:t>年）</w:t>
      </w:r>
      <w:r>
        <w:rPr>
          <w:rFonts w:hint="eastAsia"/>
          <w:color w:val="000000"/>
          <w:szCs w:val="21"/>
        </w:rPr>
        <w:t>》《关于开展</w:t>
      </w:r>
      <w:r>
        <w:rPr>
          <w:rFonts w:hint="eastAsia"/>
          <w:color w:val="000000"/>
          <w:szCs w:val="21"/>
        </w:rPr>
        <w:t>2024</w:t>
      </w:r>
      <w:r>
        <w:rPr>
          <w:rFonts w:hint="eastAsia"/>
          <w:color w:val="000000"/>
          <w:szCs w:val="21"/>
        </w:rPr>
        <w:t>年“数字适老中国行”活动的通知》等一系列政策措施先后出台，针对弥合数字鸿沟、培育重点群体、拓展服务场景等明确工作方向，进一步强化数字素养与技能提升行动的政策保障。在地方层面，各地围绕</w:t>
      </w:r>
      <w:r>
        <w:rPr>
          <w:rFonts w:hint="eastAsia"/>
          <w:color w:val="000000"/>
          <w:szCs w:val="21"/>
        </w:rPr>
        <w:t>2024</w:t>
      </w:r>
      <w:r>
        <w:rPr>
          <w:rFonts w:hint="eastAsia"/>
          <w:color w:val="000000"/>
          <w:szCs w:val="21"/>
        </w:rPr>
        <w:t>年全民数字素养与技能提升月，积极开展数字素养与技能培训基地开放日、“银龄”长者数字生活工作坊、企业数字化转型人才培训、“数字新农人”培育、青少年科技创新大赛等</w:t>
      </w:r>
      <w:r>
        <w:rPr>
          <w:rStyle w:val="affe"/>
          <w:color w:val="000000"/>
          <w:szCs w:val="21"/>
        </w:rPr>
        <w:footnoteReference w:id="24"/>
      </w:r>
      <w:r>
        <w:rPr>
          <w:rFonts w:hint="eastAsia"/>
          <w:color w:val="000000"/>
          <w:szCs w:val="21"/>
        </w:rPr>
        <w:t>，并通过多渠道、多形式广泛宣传先进经验与创新做法，不断提升活动影响力与参与度。例如，湖南</w:t>
      </w:r>
      <w:r>
        <w:rPr>
          <w:rStyle w:val="affe"/>
          <w:color w:val="000000"/>
          <w:szCs w:val="21"/>
        </w:rPr>
        <w:footnoteReference w:id="25"/>
      </w:r>
      <w:r>
        <w:rPr>
          <w:rFonts w:hint="eastAsia"/>
          <w:color w:val="000000"/>
          <w:szCs w:val="21"/>
        </w:rPr>
        <w:t>、四川</w:t>
      </w:r>
      <w:r>
        <w:rPr>
          <w:rStyle w:val="affe"/>
          <w:color w:val="000000"/>
          <w:szCs w:val="21"/>
        </w:rPr>
        <w:footnoteReference w:id="26"/>
      </w:r>
      <w:r>
        <w:rPr>
          <w:rFonts w:hint="eastAsia"/>
          <w:color w:val="000000"/>
          <w:szCs w:val="21"/>
        </w:rPr>
        <w:t>、山东</w:t>
      </w:r>
      <w:r>
        <w:rPr>
          <w:rStyle w:val="affe"/>
          <w:color w:val="000000"/>
          <w:szCs w:val="21"/>
        </w:rPr>
        <w:footnoteReference w:id="27"/>
      </w:r>
      <w:r>
        <w:rPr>
          <w:rFonts w:hint="eastAsia"/>
          <w:color w:val="000000"/>
          <w:szCs w:val="21"/>
        </w:rPr>
        <w:t>等围绕</w:t>
      </w:r>
      <w:r>
        <w:rPr>
          <w:rFonts w:hint="eastAsia"/>
          <w:color w:val="000000"/>
          <w:szCs w:val="21"/>
        </w:rPr>
        <w:t>10</w:t>
      </w:r>
      <w:r>
        <w:rPr>
          <w:rFonts w:hint="eastAsia"/>
          <w:color w:val="000000"/>
          <w:szCs w:val="21"/>
        </w:rPr>
        <w:t>余项主题举办系列活动，线上线下覆盖学生、老人、新农人、乡村网络达人等多种群体。</w:t>
      </w:r>
    </w:p>
    <w:p w14:paraId="54310C4B" w14:textId="77777777" w:rsidR="008810A2" w:rsidRDefault="00D921E0">
      <w:pPr>
        <w:ind w:firstLine="422"/>
        <w:rPr>
          <w:color w:val="000000"/>
          <w:szCs w:val="21"/>
        </w:rPr>
      </w:pPr>
      <w:r>
        <w:rPr>
          <w:rFonts w:hint="eastAsia"/>
          <w:b/>
          <w:bCs/>
          <w:color w:val="000000"/>
          <w:szCs w:val="21"/>
        </w:rPr>
        <w:t>二</w:t>
      </w:r>
      <w:r>
        <w:rPr>
          <w:b/>
          <w:bCs/>
          <w:color w:val="000000"/>
          <w:szCs w:val="21"/>
        </w:rPr>
        <w:t>是</w:t>
      </w:r>
      <w:r>
        <w:rPr>
          <w:rFonts w:hint="eastAsia"/>
          <w:b/>
          <w:bCs/>
          <w:color w:val="000000"/>
          <w:szCs w:val="21"/>
        </w:rPr>
        <w:t>网民</w:t>
      </w:r>
      <w:r>
        <w:rPr>
          <w:b/>
          <w:bCs/>
          <w:color w:val="000000"/>
          <w:szCs w:val="21"/>
        </w:rPr>
        <w:t>数字素养与技能</w:t>
      </w:r>
      <w:r>
        <w:rPr>
          <w:rFonts w:hint="eastAsia"/>
          <w:b/>
          <w:bCs/>
          <w:color w:val="000000"/>
          <w:szCs w:val="21"/>
        </w:rPr>
        <w:t>整体</w:t>
      </w:r>
      <w:r>
        <w:rPr>
          <w:b/>
          <w:bCs/>
          <w:color w:val="000000"/>
          <w:szCs w:val="21"/>
        </w:rPr>
        <w:t>水平</w:t>
      </w:r>
      <w:r>
        <w:rPr>
          <w:rFonts w:hint="eastAsia"/>
          <w:b/>
          <w:bCs/>
          <w:color w:val="000000"/>
          <w:szCs w:val="21"/>
        </w:rPr>
        <w:t>持续提升</w:t>
      </w:r>
      <w:r>
        <w:rPr>
          <w:b/>
          <w:bCs/>
          <w:color w:val="000000"/>
          <w:szCs w:val="21"/>
        </w:rPr>
        <w:t>。</w:t>
      </w:r>
      <w:r>
        <w:rPr>
          <w:rFonts w:hint="eastAsia"/>
          <w:color w:val="000000"/>
          <w:szCs w:val="21"/>
        </w:rPr>
        <w:t>数据显示</w:t>
      </w:r>
      <w:r>
        <w:rPr>
          <w:rStyle w:val="affe"/>
          <w:color w:val="000000"/>
          <w:szCs w:val="21"/>
        </w:rPr>
        <w:footnoteReference w:id="28"/>
      </w:r>
      <w:r>
        <w:rPr>
          <w:rFonts w:hint="eastAsia"/>
          <w:color w:val="000000"/>
          <w:szCs w:val="21"/>
        </w:rPr>
        <w:t>，</w:t>
      </w:r>
      <w:r>
        <w:rPr>
          <w:color w:val="000000"/>
          <w:szCs w:val="21"/>
        </w:rPr>
        <w:t>截至</w:t>
      </w:r>
      <w:r>
        <w:rPr>
          <w:color w:val="000000"/>
          <w:szCs w:val="21"/>
        </w:rPr>
        <w:t>202</w:t>
      </w:r>
      <w:r>
        <w:rPr>
          <w:rFonts w:hint="eastAsia"/>
          <w:color w:val="000000"/>
          <w:szCs w:val="21"/>
        </w:rPr>
        <w:t>4</w:t>
      </w:r>
      <w:r>
        <w:rPr>
          <w:color w:val="000000"/>
          <w:szCs w:val="21"/>
        </w:rPr>
        <w:t>年</w:t>
      </w:r>
      <w:r>
        <w:rPr>
          <w:rFonts w:hint="eastAsia"/>
          <w:color w:val="000000"/>
          <w:szCs w:val="21"/>
        </w:rPr>
        <w:t>6</w:t>
      </w:r>
      <w:r>
        <w:rPr>
          <w:color w:val="000000"/>
          <w:szCs w:val="21"/>
        </w:rPr>
        <w:t>月，至少掌握</w:t>
      </w:r>
      <w:r>
        <w:rPr>
          <w:rStyle w:val="affe"/>
          <w:color w:val="000000"/>
          <w:szCs w:val="21"/>
        </w:rPr>
        <w:footnoteReference w:id="29"/>
      </w:r>
      <w:r>
        <w:rPr>
          <w:color w:val="000000"/>
          <w:szCs w:val="21"/>
        </w:rPr>
        <w:t>一种数字素养与技能的网民占比达</w:t>
      </w:r>
      <w:r>
        <w:rPr>
          <w:rFonts w:hint="eastAsia"/>
          <w:color w:val="000000"/>
          <w:szCs w:val="21"/>
        </w:rPr>
        <w:t>90.1</w:t>
      </w:r>
      <w:r>
        <w:rPr>
          <w:color w:val="000000"/>
          <w:szCs w:val="21"/>
        </w:rPr>
        <w:t>%</w:t>
      </w:r>
      <w:r>
        <w:rPr>
          <w:color w:val="000000"/>
          <w:szCs w:val="21"/>
        </w:rPr>
        <w:t>，</w:t>
      </w:r>
      <w:r>
        <w:rPr>
          <w:rFonts w:hint="eastAsia"/>
          <w:color w:val="000000"/>
          <w:szCs w:val="21"/>
        </w:rPr>
        <w:t>较</w:t>
      </w:r>
      <w:r>
        <w:rPr>
          <w:rFonts w:hint="eastAsia"/>
          <w:color w:val="000000"/>
          <w:szCs w:val="21"/>
        </w:rPr>
        <w:t>2023</w:t>
      </w:r>
      <w:r>
        <w:rPr>
          <w:rFonts w:hint="eastAsia"/>
          <w:color w:val="000000"/>
          <w:szCs w:val="21"/>
        </w:rPr>
        <w:t>年</w:t>
      </w:r>
      <w:r>
        <w:rPr>
          <w:rFonts w:hint="eastAsia"/>
          <w:color w:val="000000"/>
          <w:szCs w:val="21"/>
        </w:rPr>
        <w:t>12</w:t>
      </w:r>
      <w:r>
        <w:rPr>
          <w:rFonts w:hint="eastAsia"/>
          <w:color w:val="000000"/>
          <w:szCs w:val="21"/>
        </w:rPr>
        <w:t>月提升</w:t>
      </w:r>
      <w:r>
        <w:rPr>
          <w:rFonts w:hint="eastAsia"/>
          <w:color w:val="000000"/>
          <w:szCs w:val="21"/>
        </w:rPr>
        <w:t>2.6</w:t>
      </w:r>
      <w:r>
        <w:rPr>
          <w:rFonts w:hint="eastAsia"/>
          <w:color w:val="000000"/>
          <w:szCs w:val="21"/>
        </w:rPr>
        <w:t>个百分点；</w:t>
      </w:r>
      <w:r>
        <w:rPr>
          <w:color w:val="000000"/>
          <w:szCs w:val="21"/>
        </w:rPr>
        <w:t>至少</w:t>
      </w:r>
      <w:r>
        <w:rPr>
          <w:rFonts w:hint="eastAsia"/>
          <w:color w:val="000000"/>
          <w:szCs w:val="21"/>
        </w:rPr>
        <w:t>熟练</w:t>
      </w:r>
      <w:r>
        <w:rPr>
          <w:color w:val="000000"/>
          <w:szCs w:val="21"/>
        </w:rPr>
        <w:t>掌握一种数字素养与技能的网民占比达</w:t>
      </w:r>
      <w:r>
        <w:rPr>
          <w:rFonts w:hint="eastAsia"/>
          <w:color w:val="000000"/>
          <w:szCs w:val="21"/>
        </w:rPr>
        <w:t>57.8</w:t>
      </w:r>
      <w:r>
        <w:rPr>
          <w:color w:val="000000"/>
          <w:szCs w:val="21"/>
        </w:rPr>
        <w:t>%</w:t>
      </w:r>
      <w:r>
        <w:rPr>
          <w:color w:val="000000"/>
          <w:szCs w:val="21"/>
        </w:rPr>
        <w:t>，</w:t>
      </w:r>
      <w:r>
        <w:rPr>
          <w:rFonts w:hint="eastAsia"/>
          <w:color w:val="000000"/>
          <w:szCs w:val="21"/>
        </w:rPr>
        <w:t>较</w:t>
      </w:r>
      <w:r>
        <w:rPr>
          <w:rFonts w:hint="eastAsia"/>
          <w:color w:val="000000"/>
          <w:szCs w:val="21"/>
        </w:rPr>
        <w:t>2023</w:t>
      </w:r>
      <w:r>
        <w:rPr>
          <w:rFonts w:hint="eastAsia"/>
          <w:color w:val="000000"/>
          <w:szCs w:val="21"/>
        </w:rPr>
        <w:t>年</w:t>
      </w:r>
      <w:r>
        <w:rPr>
          <w:rFonts w:hint="eastAsia"/>
          <w:color w:val="000000"/>
          <w:szCs w:val="21"/>
        </w:rPr>
        <w:t>12</w:t>
      </w:r>
      <w:r>
        <w:rPr>
          <w:rFonts w:hint="eastAsia"/>
          <w:color w:val="000000"/>
          <w:szCs w:val="21"/>
        </w:rPr>
        <w:t>月提升</w:t>
      </w:r>
      <w:r>
        <w:rPr>
          <w:rFonts w:hint="eastAsia"/>
          <w:color w:val="000000"/>
          <w:szCs w:val="21"/>
        </w:rPr>
        <w:t>3.7</w:t>
      </w:r>
      <w:r>
        <w:rPr>
          <w:rFonts w:hint="eastAsia"/>
          <w:color w:val="000000"/>
          <w:szCs w:val="21"/>
        </w:rPr>
        <w:t>个百分点；近六成网民达到</w:t>
      </w:r>
      <w:r>
        <w:rPr>
          <w:color w:val="000000"/>
          <w:szCs w:val="21"/>
        </w:rPr>
        <w:t>数字素养与技能</w:t>
      </w:r>
      <w:r>
        <w:rPr>
          <w:rFonts w:hint="eastAsia"/>
          <w:color w:val="000000"/>
          <w:szCs w:val="21"/>
        </w:rPr>
        <w:t>初级</w:t>
      </w:r>
      <w:r>
        <w:rPr>
          <w:color w:val="000000"/>
          <w:szCs w:val="21"/>
        </w:rPr>
        <w:t>水平</w:t>
      </w:r>
      <w:r>
        <w:rPr>
          <w:rStyle w:val="affe"/>
          <w:color w:val="000000"/>
          <w:szCs w:val="21"/>
        </w:rPr>
        <w:footnoteReference w:id="30"/>
      </w:r>
      <w:r>
        <w:rPr>
          <w:color w:val="000000"/>
          <w:szCs w:val="21"/>
        </w:rPr>
        <w:t>。其中，在使用数字产品及服务方面，能够</w:t>
      </w:r>
      <w:r>
        <w:rPr>
          <w:rFonts w:hint="eastAsia"/>
          <w:color w:val="000000"/>
          <w:szCs w:val="21"/>
        </w:rPr>
        <w:t>熟练</w:t>
      </w:r>
      <w:r>
        <w:rPr>
          <w:rFonts w:ascii="宋体" w:hAnsi="宋体"/>
          <w:color w:val="000000"/>
          <w:szCs w:val="21"/>
        </w:rPr>
        <w:t>“</w:t>
      </w:r>
      <w:r>
        <w:rPr>
          <w:color w:val="000000"/>
          <w:szCs w:val="21"/>
        </w:rPr>
        <w:t>使用电脑或手机搜索、下载、安装及配置软件</w:t>
      </w:r>
      <w:r>
        <w:rPr>
          <w:rFonts w:ascii="宋体" w:hAnsi="宋体"/>
          <w:color w:val="000000"/>
          <w:szCs w:val="21"/>
        </w:rPr>
        <w:t>”</w:t>
      </w:r>
      <w:r>
        <w:rPr>
          <w:color w:val="000000"/>
          <w:szCs w:val="21"/>
        </w:rPr>
        <w:t>的网民占比达</w:t>
      </w:r>
      <w:r>
        <w:rPr>
          <w:rFonts w:hint="eastAsia"/>
          <w:color w:val="000000"/>
          <w:szCs w:val="21"/>
        </w:rPr>
        <w:t>40.5</w:t>
      </w:r>
      <w:r>
        <w:rPr>
          <w:color w:val="000000"/>
          <w:szCs w:val="21"/>
        </w:rPr>
        <w:t>%</w:t>
      </w:r>
      <w:r>
        <w:rPr>
          <w:rFonts w:hint="eastAsia"/>
          <w:color w:val="000000"/>
          <w:szCs w:val="21"/>
        </w:rPr>
        <w:t>；</w:t>
      </w:r>
      <w:r>
        <w:rPr>
          <w:color w:val="000000"/>
          <w:szCs w:val="21"/>
        </w:rPr>
        <w:t>在创造数字内容方面，能够</w:t>
      </w:r>
      <w:r>
        <w:rPr>
          <w:rFonts w:hint="eastAsia"/>
          <w:color w:val="000000"/>
          <w:szCs w:val="21"/>
        </w:rPr>
        <w:t>熟练</w:t>
      </w:r>
      <w:r>
        <w:rPr>
          <w:rFonts w:ascii="宋体" w:hAnsi="宋体"/>
          <w:color w:val="000000"/>
          <w:szCs w:val="21"/>
        </w:rPr>
        <w:t>“</w:t>
      </w:r>
      <w:r>
        <w:rPr>
          <w:color w:val="000000"/>
          <w:szCs w:val="21"/>
        </w:rPr>
        <w:t>复制、粘贴电脑或手机里的信息</w:t>
      </w:r>
      <w:r>
        <w:rPr>
          <w:rFonts w:ascii="宋体" w:hAnsi="宋体"/>
          <w:color w:val="000000"/>
          <w:szCs w:val="21"/>
        </w:rPr>
        <w:t>”</w:t>
      </w:r>
      <w:r>
        <w:rPr>
          <w:color w:val="000000"/>
          <w:szCs w:val="21"/>
        </w:rPr>
        <w:t>的网民占比达</w:t>
      </w:r>
      <w:r>
        <w:rPr>
          <w:rFonts w:hint="eastAsia"/>
          <w:color w:val="000000"/>
          <w:szCs w:val="21"/>
        </w:rPr>
        <w:t>45.6</w:t>
      </w:r>
      <w:r>
        <w:rPr>
          <w:color w:val="000000"/>
          <w:szCs w:val="21"/>
        </w:rPr>
        <w:t>%</w:t>
      </w:r>
      <w:r>
        <w:rPr>
          <w:rFonts w:hint="eastAsia"/>
          <w:color w:val="000000"/>
          <w:szCs w:val="21"/>
        </w:rPr>
        <w:t>；与</w:t>
      </w:r>
      <w:r>
        <w:rPr>
          <w:rFonts w:hint="eastAsia"/>
          <w:color w:val="000000"/>
          <w:szCs w:val="21"/>
        </w:rPr>
        <w:t>2023</w:t>
      </w:r>
      <w:r>
        <w:rPr>
          <w:rFonts w:hint="eastAsia"/>
          <w:color w:val="000000"/>
          <w:szCs w:val="21"/>
        </w:rPr>
        <w:t>年</w:t>
      </w:r>
      <w:r>
        <w:rPr>
          <w:rFonts w:hint="eastAsia"/>
          <w:color w:val="000000"/>
          <w:szCs w:val="21"/>
        </w:rPr>
        <w:t>12</w:t>
      </w:r>
      <w:r>
        <w:rPr>
          <w:rFonts w:hint="eastAsia"/>
          <w:color w:val="000000"/>
          <w:szCs w:val="21"/>
        </w:rPr>
        <w:t>月相比基本持平</w:t>
      </w:r>
      <w:r>
        <w:rPr>
          <w:color w:val="000000"/>
          <w:szCs w:val="21"/>
        </w:rPr>
        <w:t>；在网络安全防护方面，能够</w:t>
      </w:r>
      <w:r>
        <w:rPr>
          <w:rFonts w:hint="eastAsia"/>
          <w:color w:val="000000"/>
          <w:szCs w:val="21"/>
        </w:rPr>
        <w:t>熟练</w:t>
      </w:r>
      <w:r>
        <w:rPr>
          <w:rFonts w:ascii="宋体" w:hAnsi="宋体"/>
          <w:color w:val="000000"/>
          <w:szCs w:val="21"/>
        </w:rPr>
        <w:t>“</w:t>
      </w:r>
      <w:r>
        <w:rPr>
          <w:color w:val="000000"/>
          <w:szCs w:val="21"/>
        </w:rPr>
        <w:t>在互联网上搜索信息并辨别真假</w:t>
      </w:r>
      <w:r>
        <w:rPr>
          <w:rFonts w:ascii="宋体" w:hAnsi="宋体"/>
          <w:color w:val="000000"/>
          <w:szCs w:val="21"/>
        </w:rPr>
        <w:t>”</w:t>
      </w:r>
      <w:r>
        <w:rPr>
          <w:color w:val="000000"/>
          <w:szCs w:val="21"/>
        </w:rPr>
        <w:t>的网民占比达</w:t>
      </w:r>
      <w:r>
        <w:rPr>
          <w:rFonts w:hint="eastAsia"/>
          <w:color w:val="000000"/>
          <w:szCs w:val="21"/>
        </w:rPr>
        <w:t>28.9</w:t>
      </w:r>
      <w:r>
        <w:rPr>
          <w:color w:val="000000"/>
          <w:szCs w:val="21"/>
        </w:rPr>
        <w:t>%</w:t>
      </w:r>
      <w:r>
        <w:rPr>
          <w:rFonts w:hint="eastAsia"/>
          <w:color w:val="000000"/>
          <w:szCs w:val="21"/>
        </w:rPr>
        <w:t>，较</w:t>
      </w:r>
      <w:r>
        <w:rPr>
          <w:rFonts w:hint="eastAsia"/>
          <w:color w:val="000000"/>
          <w:szCs w:val="21"/>
        </w:rPr>
        <w:t>2023</w:t>
      </w:r>
      <w:r>
        <w:rPr>
          <w:rFonts w:hint="eastAsia"/>
          <w:color w:val="000000"/>
          <w:szCs w:val="21"/>
        </w:rPr>
        <w:t>年</w:t>
      </w:r>
      <w:r>
        <w:rPr>
          <w:rFonts w:hint="eastAsia"/>
          <w:color w:val="000000"/>
          <w:szCs w:val="21"/>
        </w:rPr>
        <w:t>12</w:t>
      </w:r>
      <w:r>
        <w:rPr>
          <w:rFonts w:hint="eastAsia"/>
          <w:color w:val="000000"/>
          <w:szCs w:val="21"/>
        </w:rPr>
        <w:t>月提升</w:t>
      </w:r>
      <w:r>
        <w:rPr>
          <w:rFonts w:hint="eastAsia"/>
          <w:color w:val="000000"/>
          <w:szCs w:val="21"/>
        </w:rPr>
        <w:t>1.3</w:t>
      </w:r>
      <w:r>
        <w:rPr>
          <w:rFonts w:hint="eastAsia"/>
          <w:color w:val="000000"/>
          <w:szCs w:val="21"/>
        </w:rPr>
        <w:t>个百分点</w:t>
      </w:r>
      <w:r>
        <w:rPr>
          <w:color w:val="000000"/>
          <w:szCs w:val="21"/>
        </w:rPr>
        <w:t>。</w:t>
      </w:r>
    </w:p>
    <w:p w14:paraId="78B181EB" w14:textId="77777777" w:rsidR="008810A2" w:rsidRDefault="00D921E0">
      <w:pPr>
        <w:spacing w:beforeLines="50" w:before="156"/>
        <w:ind w:firstLineChars="0" w:firstLine="0"/>
        <w:jc w:val="center"/>
      </w:pPr>
      <w:r>
        <w:rPr>
          <w:i/>
          <w:iCs/>
          <w:noProof/>
          <w:color w:val="000000" w:themeColor="text1"/>
        </w:rPr>
        <w:lastRenderedPageBreak/>
        <w:drawing>
          <wp:inline distT="0" distB="0" distL="0" distR="0" wp14:anchorId="124C0168" wp14:editId="08DEB360">
            <wp:extent cx="5248910" cy="3038475"/>
            <wp:effectExtent l="4445" t="4445" r="19685" b="508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D20B0F" w14:textId="668B73F7"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22</w:t>
      </w:r>
      <w:r>
        <w:fldChar w:fldCharType="end"/>
      </w:r>
      <w:r>
        <w:rPr>
          <w:rFonts w:hint="eastAsia"/>
        </w:rPr>
        <w:t xml:space="preserve">  </w:t>
      </w:r>
      <w:r>
        <w:rPr>
          <w:rFonts w:eastAsia="宋体" w:hint="eastAsia"/>
        </w:rPr>
        <w:t>网民掌握部分数字素养与技能的情况</w:t>
      </w:r>
    </w:p>
    <w:p w14:paraId="30FF0D80" w14:textId="77777777" w:rsidR="008810A2" w:rsidRDefault="00D921E0">
      <w:pPr>
        <w:ind w:firstLine="422"/>
        <w:rPr>
          <w:rFonts w:eastAsia="仿宋_GB2312"/>
          <w:b/>
          <w:color w:val="000000" w:themeColor="text1"/>
          <w:sz w:val="52"/>
          <w:szCs w:val="52"/>
        </w:rPr>
      </w:pPr>
      <w:r>
        <w:rPr>
          <w:rFonts w:hint="eastAsia"/>
          <w:b/>
          <w:bCs/>
          <w:color w:val="000000"/>
          <w:szCs w:val="21"/>
        </w:rPr>
        <w:t>三</w:t>
      </w:r>
      <w:r>
        <w:rPr>
          <w:b/>
          <w:bCs/>
          <w:color w:val="000000"/>
          <w:szCs w:val="21"/>
        </w:rPr>
        <w:t>是</w:t>
      </w:r>
      <w:r>
        <w:rPr>
          <w:rFonts w:hint="eastAsia"/>
          <w:b/>
          <w:bCs/>
          <w:color w:val="000000"/>
          <w:szCs w:val="21"/>
        </w:rPr>
        <w:t>不同网民群体</w:t>
      </w:r>
      <w:r>
        <w:rPr>
          <w:b/>
          <w:bCs/>
          <w:color w:val="000000"/>
          <w:szCs w:val="21"/>
        </w:rPr>
        <w:t>数字素养与技能</w:t>
      </w:r>
      <w:r>
        <w:rPr>
          <w:rFonts w:hint="eastAsia"/>
          <w:b/>
          <w:bCs/>
          <w:color w:val="000000"/>
          <w:szCs w:val="21"/>
        </w:rPr>
        <w:t>差异化发展</w:t>
      </w:r>
      <w:r>
        <w:rPr>
          <w:b/>
          <w:bCs/>
          <w:color w:val="000000"/>
          <w:szCs w:val="21"/>
        </w:rPr>
        <w:t>。</w:t>
      </w:r>
      <w:r>
        <w:rPr>
          <w:rFonts w:hint="eastAsia"/>
          <w:color w:val="000000"/>
          <w:szCs w:val="21"/>
        </w:rPr>
        <w:t>截至</w:t>
      </w:r>
      <w:r>
        <w:rPr>
          <w:rFonts w:hint="eastAsia"/>
          <w:color w:val="000000"/>
          <w:szCs w:val="21"/>
        </w:rPr>
        <w:t>2024</w:t>
      </w:r>
      <w:r>
        <w:rPr>
          <w:rFonts w:hint="eastAsia"/>
          <w:color w:val="000000"/>
          <w:szCs w:val="21"/>
        </w:rPr>
        <w:t>年</w:t>
      </w:r>
      <w:r>
        <w:rPr>
          <w:rFonts w:hint="eastAsia"/>
          <w:color w:val="000000"/>
          <w:szCs w:val="21"/>
        </w:rPr>
        <w:t>6</w:t>
      </w:r>
      <w:r>
        <w:rPr>
          <w:rFonts w:hint="eastAsia"/>
          <w:color w:val="000000"/>
          <w:szCs w:val="21"/>
        </w:rPr>
        <w:t>月，</w:t>
      </w:r>
      <w:r>
        <w:rPr>
          <w:rFonts w:hint="eastAsia"/>
          <w:bCs/>
        </w:rPr>
        <w:t>在职业为制造生产型企业人员的网民群体中，能够熟练“使用智能工业生产工具”的网民占比为</w:t>
      </w:r>
      <w:r>
        <w:rPr>
          <w:rFonts w:hint="eastAsia"/>
          <w:bCs/>
        </w:rPr>
        <w:t>15.6%</w:t>
      </w:r>
      <w:r>
        <w:rPr>
          <w:rFonts w:hint="eastAsia"/>
          <w:bCs/>
        </w:rPr>
        <w:t>；在职业为农林牧</w:t>
      </w:r>
      <w:proofErr w:type="gramStart"/>
      <w:r>
        <w:rPr>
          <w:rFonts w:hint="eastAsia"/>
          <w:bCs/>
        </w:rPr>
        <w:t>渔劳动</w:t>
      </w:r>
      <w:proofErr w:type="gramEnd"/>
      <w:r>
        <w:rPr>
          <w:rFonts w:hint="eastAsia"/>
          <w:bCs/>
        </w:rPr>
        <w:t>人员的网民群体中，能够熟练“使用智能农业生产工具”的网民占比为</w:t>
      </w:r>
      <w:r>
        <w:rPr>
          <w:rFonts w:hint="eastAsia"/>
          <w:bCs/>
        </w:rPr>
        <w:t>6.9%</w:t>
      </w:r>
      <w:r>
        <w:rPr>
          <w:rFonts w:hint="eastAsia"/>
          <w:bCs/>
        </w:rPr>
        <w:t>；在</w:t>
      </w:r>
      <w:r>
        <w:rPr>
          <w:rFonts w:hint="eastAsia"/>
          <w:bCs/>
        </w:rPr>
        <w:t>20-29</w:t>
      </w:r>
      <w:r>
        <w:rPr>
          <w:rFonts w:hint="eastAsia"/>
          <w:bCs/>
        </w:rPr>
        <w:t>岁网民群体中，能够熟练</w:t>
      </w:r>
      <w:r>
        <w:rPr>
          <w:rFonts w:ascii="宋体" w:hAnsi="宋体"/>
          <w:color w:val="000000"/>
          <w:szCs w:val="21"/>
        </w:rPr>
        <w:t>“</w:t>
      </w:r>
      <w:r>
        <w:rPr>
          <w:color w:val="000000"/>
          <w:szCs w:val="21"/>
        </w:rPr>
        <w:t>使用编程语言编写计算机程序</w:t>
      </w:r>
      <w:r>
        <w:rPr>
          <w:rFonts w:ascii="宋体" w:hAnsi="宋体"/>
          <w:color w:val="000000"/>
          <w:szCs w:val="21"/>
        </w:rPr>
        <w:t>”</w:t>
      </w:r>
      <w:r>
        <w:rPr>
          <w:color w:val="000000"/>
          <w:szCs w:val="21"/>
        </w:rPr>
        <w:t>的网民占比为</w:t>
      </w:r>
      <w:r>
        <w:rPr>
          <w:rFonts w:hint="eastAsia"/>
          <w:color w:val="000000"/>
          <w:szCs w:val="21"/>
        </w:rPr>
        <w:t>9.4</w:t>
      </w:r>
      <w:r>
        <w:rPr>
          <w:color w:val="000000"/>
          <w:szCs w:val="21"/>
        </w:rPr>
        <w:t>%</w:t>
      </w:r>
      <w:r>
        <w:rPr>
          <w:rFonts w:hint="eastAsia"/>
          <w:color w:val="000000"/>
          <w:szCs w:val="21"/>
        </w:rPr>
        <w:t>；</w:t>
      </w:r>
      <w:r>
        <w:rPr>
          <w:rFonts w:hint="eastAsia"/>
          <w:bCs/>
        </w:rPr>
        <w:t>在</w:t>
      </w:r>
      <w:r>
        <w:rPr>
          <w:rFonts w:hint="eastAsia"/>
          <w:bCs/>
        </w:rPr>
        <w:t>60</w:t>
      </w:r>
      <w:r>
        <w:rPr>
          <w:rFonts w:hint="eastAsia"/>
          <w:bCs/>
        </w:rPr>
        <w:t>岁及以上网民群体中，能够熟练“使用手机应用老年模式”的网民占比为</w:t>
      </w:r>
      <w:r>
        <w:rPr>
          <w:rFonts w:hint="eastAsia"/>
          <w:bCs/>
        </w:rPr>
        <w:t>8.1%</w:t>
      </w:r>
      <w:r>
        <w:rPr>
          <w:rFonts w:hint="eastAsia"/>
          <w:bCs/>
        </w:rPr>
        <w:t>。</w:t>
      </w:r>
    </w:p>
    <w:p w14:paraId="43B5B32D" w14:textId="77777777" w:rsidR="008810A2" w:rsidRDefault="00D921E0">
      <w:pPr>
        <w:ind w:firstLine="420"/>
        <w:rPr>
          <w:rFonts w:eastAsia="仿宋_GB2312"/>
          <w:b/>
          <w:color w:val="000000" w:themeColor="text1"/>
          <w:sz w:val="52"/>
          <w:szCs w:val="52"/>
        </w:rPr>
      </w:pPr>
      <w:r>
        <w:rPr>
          <w:bCs/>
        </w:rPr>
        <w:br w:type="page"/>
      </w:r>
    </w:p>
    <w:p w14:paraId="2CA7B0B9" w14:textId="77777777" w:rsidR="00FF0CED" w:rsidRDefault="00FF0CED">
      <w:pPr>
        <w:widowControl/>
        <w:spacing w:line="240" w:lineRule="auto"/>
        <w:ind w:firstLineChars="0" w:firstLine="0"/>
        <w:jc w:val="left"/>
        <w:rPr>
          <w:rFonts w:eastAsia="仿宋_GB2312"/>
          <w:b/>
          <w:color w:val="000000" w:themeColor="text1"/>
          <w:kern w:val="44"/>
          <w:sz w:val="52"/>
          <w:szCs w:val="52"/>
        </w:rPr>
      </w:pPr>
      <w:bookmarkStart w:id="216" w:name="_Toc175065709"/>
      <w:r>
        <w:rPr>
          <w:rFonts w:eastAsia="仿宋_GB2312"/>
          <w:b/>
          <w:color w:val="000000" w:themeColor="text1"/>
          <w:sz w:val="52"/>
          <w:szCs w:val="52"/>
        </w:rPr>
        <w:lastRenderedPageBreak/>
        <w:br w:type="page"/>
      </w:r>
    </w:p>
    <w:p w14:paraId="383367D9" w14:textId="77777777" w:rsidR="008810A2" w:rsidRDefault="00D921E0">
      <w:pPr>
        <w:pStyle w:val="1"/>
        <w:tabs>
          <w:tab w:val="left" w:pos="420"/>
        </w:tabs>
        <w:spacing w:before="120" w:after="600" w:line="312" w:lineRule="auto"/>
        <w:ind w:firstLineChars="0" w:firstLine="0"/>
        <w:rPr>
          <w:rFonts w:eastAsia="仿宋_GB2312"/>
          <w:b/>
          <w:color w:val="000000" w:themeColor="text1"/>
          <w:sz w:val="52"/>
          <w:szCs w:val="52"/>
        </w:rPr>
      </w:pPr>
      <w:r>
        <w:rPr>
          <w:rFonts w:eastAsia="仿宋_GB2312"/>
          <w:b/>
          <w:color w:val="000000" w:themeColor="text1"/>
          <w:sz w:val="52"/>
          <w:szCs w:val="52"/>
        </w:rPr>
        <w:lastRenderedPageBreak/>
        <w:t>第</w:t>
      </w:r>
      <w:r>
        <w:rPr>
          <w:rFonts w:eastAsia="仿宋_GB2312" w:hint="eastAsia"/>
          <w:b/>
          <w:color w:val="000000" w:themeColor="text1"/>
          <w:sz w:val="52"/>
          <w:szCs w:val="52"/>
        </w:rPr>
        <w:t>三</w:t>
      </w:r>
      <w:r>
        <w:rPr>
          <w:rFonts w:eastAsia="仿宋_GB2312"/>
          <w:b/>
          <w:color w:val="000000" w:themeColor="text1"/>
          <w:sz w:val="52"/>
          <w:szCs w:val="52"/>
        </w:rPr>
        <w:t>章</w:t>
      </w:r>
      <w:r>
        <w:rPr>
          <w:rFonts w:eastAsia="仿宋_GB2312" w:hint="eastAsia"/>
          <w:b/>
          <w:color w:val="000000" w:themeColor="text1"/>
          <w:sz w:val="52"/>
          <w:szCs w:val="52"/>
        </w:rPr>
        <w:t xml:space="preserve"> </w:t>
      </w:r>
      <w:r>
        <w:rPr>
          <w:rFonts w:eastAsia="仿宋_GB2312"/>
          <w:b/>
          <w:color w:val="000000" w:themeColor="text1"/>
          <w:sz w:val="52"/>
          <w:szCs w:val="52"/>
        </w:rPr>
        <w:t>互联网应用发展状况</w:t>
      </w:r>
      <w:bookmarkEnd w:id="200"/>
      <w:bookmarkEnd w:id="201"/>
      <w:bookmarkEnd w:id="202"/>
      <w:bookmarkEnd w:id="203"/>
      <w:bookmarkEnd w:id="204"/>
      <w:bookmarkEnd w:id="205"/>
      <w:bookmarkEnd w:id="216"/>
    </w:p>
    <w:p w14:paraId="2723C3FA" w14:textId="77777777" w:rsidR="008810A2" w:rsidRDefault="00D921E0">
      <w:pPr>
        <w:ind w:firstLine="420"/>
        <w:rPr>
          <w:color w:val="000000" w:themeColor="text1"/>
        </w:rPr>
      </w:pPr>
      <w:bookmarkStart w:id="217" w:name="_Toc78288088"/>
      <w:bookmarkEnd w:id="206"/>
      <w:bookmarkEnd w:id="207"/>
      <w:bookmarkEnd w:id="208"/>
      <w:bookmarkEnd w:id="209"/>
      <w:bookmarkEnd w:id="210"/>
      <w:bookmarkEnd w:id="211"/>
      <w:bookmarkEnd w:id="212"/>
      <w:bookmarkEnd w:id="213"/>
      <w:bookmarkEnd w:id="214"/>
      <w:bookmarkEnd w:id="215"/>
      <w:r>
        <w:rPr>
          <w:color w:val="000000" w:themeColor="text1"/>
        </w:rPr>
        <w:t>2024</w:t>
      </w:r>
      <w:r>
        <w:rPr>
          <w:rFonts w:hint="eastAsia"/>
          <w:color w:val="000000" w:themeColor="text1"/>
        </w:rPr>
        <w:t>年上半</w:t>
      </w:r>
      <w:r>
        <w:rPr>
          <w:color w:val="000000" w:themeColor="text1"/>
        </w:rPr>
        <w:t>年，我国扎实推进数字技术和实体经济深度融合，加快发展数字经济，助力国民经济</w:t>
      </w:r>
      <w:r>
        <w:rPr>
          <w:rFonts w:hint="eastAsia"/>
          <w:color w:val="000000" w:themeColor="text1"/>
        </w:rPr>
        <w:t>稳中有进、长期向好</w:t>
      </w:r>
      <w:r>
        <w:rPr>
          <w:color w:val="000000" w:themeColor="text1"/>
        </w:rPr>
        <w:t>。互联网在商务交易、</w:t>
      </w:r>
      <w:r>
        <w:rPr>
          <w:rFonts w:hint="eastAsia"/>
          <w:color w:val="000000" w:themeColor="text1"/>
        </w:rPr>
        <w:t>文娱旅游</w:t>
      </w:r>
      <w:r>
        <w:rPr>
          <w:color w:val="000000" w:themeColor="text1"/>
        </w:rPr>
        <w:t>等多个领域中的应用不断深化，更好满足人民群众日益增长的美好生活需要。</w:t>
      </w:r>
    </w:p>
    <w:p w14:paraId="222226FD" w14:textId="77777777" w:rsidR="008810A2" w:rsidRDefault="00D921E0">
      <w:pPr>
        <w:pStyle w:val="2"/>
        <w:numPr>
          <w:ilvl w:val="0"/>
          <w:numId w:val="10"/>
        </w:numPr>
        <w:spacing w:before="400" w:after="300" w:line="312" w:lineRule="auto"/>
        <w:ind w:left="0" w:firstLine="0"/>
        <w:rPr>
          <w:rFonts w:eastAsia="黑体"/>
          <w:color w:val="000000" w:themeColor="text1"/>
          <w:sz w:val="36"/>
          <w:szCs w:val="36"/>
        </w:rPr>
      </w:pPr>
      <w:bookmarkStart w:id="218" w:name="_Toc175065710"/>
      <w:r>
        <w:rPr>
          <w:rFonts w:eastAsia="黑体"/>
          <w:color w:val="000000" w:themeColor="text1"/>
          <w:sz w:val="36"/>
          <w:szCs w:val="36"/>
        </w:rPr>
        <w:t>总体发展状况</w:t>
      </w:r>
      <w:bookmarkEnd w:id="218"/>
    </w:p>
    <w:p w14:paraId="133E713C" w14:textId="77777777" w:rsidR="008810A2" w:rsidRDefault="00D921E0">
      <w:pPr>
        <w:ind w:firstLine="420"/>
        <w:rPr>
          <w:rFonts w:eastAsiaTheme="minorEastAsia"/>
          <w:color w:val="000000" w:themeColor="text1"/>
          <w:kern w:val="44"/>
          <w:szCs w:val="21"/>
        </w:rPr>
      </w:pPr>
      <w:bookmarkStart w:id="219" w:name="_Toc456859279"/>
      <w:r>
        <w:rPr>
          <w:color w:val="000000" w:themeColor="text1"/>
        </w:rPr>
        <w:t>2024</w:t>
      </w:r>
      <w:r>
        <w:rPr>
          <w:color w:val="000000" w:themeColor="text1"/>
        </w:rPr>
        <w:t>年</w:t>
      </w:r>
      <w:r>
        <w:rPr>
          <w:rFonts w:hint="eastAsia"/>
          <w:color w:val="000000" w:themeColor="text1"/>
        </w:rPr>
        <w:t>上半年</w:t>
      </w:r>
      <w:r>
        <w:rPr>
          <w:color w:val="000000" w:themeColor="text1"/>
        </w:rPr>
        <w:t>，我国各类互联网应用不断深化，用户规模持续增长。其中，</w:t>
      </w:r>
      <w:r>
        <w:rPr>
          <w:rFonts w:hint="eastAsia"/>
          <w:color w:val="000000" w:themeColor="text1"/>
        </w:rPr>
        <w:t>即时通信、网络支付</w:t>
      </w:r>
      <w:r>
        <w:rPr>
          <w:color w:val="000000" w:themeColor="text1"/>
        </w:rPr>
        <w:t>、</w:t>
      </w:r>
      <w:r>
        <w:rPr>
          <w:rFonts w:hint="eastAsia"/>
          <w:color w:val="000000" w:themeColor="text1"/>
        </w:rPr>
        <w:t>网络音乐和网上外卖</w:t>
      </w:r>
      <w:r>
        <w:rPr>
          <w:color w:val="000000" w:themeColor="text1"/>
        </w:rPr>
        <w:t>的用户规模较</w:t>
      </w:r>
      <w:r>
        <w:rPr>
          <w:color w:val="000000" w:themeColor="text1"/>
        </w:rPr>
        <w:t>2023</w:t>
      </w:r>
      <w:r>
        <w:rPr>
          <w:color w:val="000000" w:themeColor="text1"/>
        </w:rPr>
        <w:t>年</w:t>
      </w:r>
      <w:r>
        <w:rPr>
          <w:color w:val="000000" w:themeColor="text1"/>
        </w:rPr>
        <w:t>12</w:t>
      </w:r>
      <w:proofErr w:type="gramStart"/>
      <w:r>
        <w:rPr>
          <w:color w:val="000000" w:themeColor="text1"/>
        </w:rPr>
        <w:t>月分</w:t>
      </w:r>
      <w:proofErr w:type="gramEnd"/>
      <w:r>
        <w:rPr>
          <w:color w:val="000000" w:themeColor="text1"/>
        </w:rPr>
        <w:t>别增长</w:t>
      </w:r>
      <w:r>
        <w:rPr>
          <w:color w:val="000000" w:themeColor="text1"/>
        </w:rPr>
        <w:t>1824</w:t>
      </w:r>
      <w:r>
        <w:rPr>
          <w:color w:val="000000" w:themeColor="text1"/>
        </w:rPr>
        <w:t>万人、</w:t>
      </w:r>
      <w:r>
        <w:rPr>
          <w:color w:val="000000" w:themeColor="text1"/>
        </w:rPr>
        <w:t>1498</w:t>
      </w:r>
      <w:r>
        <w:rPr>
          <w:color w:val="000000" w:themeColor="text1"/>
        </w:rPr>
        <w:t>万人、</w:t>
      </w:r>
      <w:r>
        <w:rPr>
          <w:color w:val="000000" w:themeColor="text1"/>
        </w:rPr>
        <w:t>1450</w:t>
      </w:r>
      <w:r>
        <w:rPr>
          <w:color w:val="000000" w:themeColor="text1"/>
        </w:rPr>
        <w:t>万人和</w:t>
      </w:r>
      <w:r>
        <w:rPr>
          <w:color w:val="000000" w:themeColor="text1"/>
        </w:rPr>
        <w:t>850</w:t>
      </w:r>
      <w:r>
        <w:rPr>
          <w:color w:val="000000" w:themeColor="text1"/>
        </w:rPr>
        <w:t>万人，增长率分别为</w:t>
      </w:r>
      <w:r>
        <w:rPr>
          <w:color w:val="000000" w:themeColor="text1"/>
        </w:rPr>
        <w:t>1.7%</w:t>
      </w:r>
      <w:r>
        <w:rPr>
          <w:color w:val="000000" w:themeColor="text1"/>
        </w:rPr>
        <w:t>、</w:t>
      </w:r>
      <w:r>
        <w:rPr>
          <w:rFonts w:hint="eastAsia"/>
          <w:color w:val="000000" w:themeColor="text1"/>
        </w:rPr>
        <w:t>1</w:t>
      </w:r>
      <w:r>
        <w:rPr>
          <w:color w:val="000000" w:themeColor="text1"/>
        </w:rPr>
        <w:t>.6%</w:t>
      </w:r>
      <w:r>
        <w:rPr>
          <w:color w:val="000000" w:themeColor="text1"/>
        </w:rPr>
        <w:t>、</w:t>
      </w:r>
      <w:r>
        <w:rPr>
          <w:color w:val="000000" w:themeColor="text1"/>
        </w:rPr>
        <w:t>2.0%</w:t>
      </w:r>
      <w:r>
        <w:rPr>
          <w:rFonts w:hint="eastAsia"/>
          <w:color w:val="000000" w:themeColor="text1"/>
        </w:rPr>
        <w:t>和</w:t>
      </w:r>
      <w:r>
        <w:rPr>
          <w:color w:val="000000" w:themeColor="text1"/>
        </w:rPr>
        <w:t>1.6%</w:t>
      </w:r>
      <w:r>
        <w:rPr>
          <w:rFonts w:hint="eastAsia"/>
          <w:color w:val="000000" w:themeColor="text1"/>
        </w:rPr>
        <w:t>。</w:t>
      </w:r>
    </w:p>
    <w:bookmarkEnd w:id="219"/>
    <w:p w14:paraId="5D8ABC8C" w14:textId="35918880" w:rsidR="008810A2" w:rsidRDefault="00D921E0">
      <w:pPr>
        <w:ind w:firstLineChars="0" w:firstLine="0"/>
        <w:jc w:val="center"/>
      </w:pPr>
      <w:r>
        <w:t>表</w:t>
      </w:r>
      <w:r>
        <w:t xml:space="preserve"> </w:t>
      </w:r>
      <w:r>
        <w:fldChar w:fldCharType="begin"/>
      </w:r>
      <w:r>
        <w:instrText xml:space="preserve"> SEQ </w:instrText>
      </w:r>
      <w:r>
        <w:instrText>表</w:instrText>
      </w:r>
      <w:r>
        <w:instrText xml:space="preserve"> \* ARABIC </w:instrText>
      </w:r>
      <w:r>
        <w:fldChar w:fldCharType="separate"/>
      </w:r>
      <w:r w:rsidR="00A057C8">
        <w:rPr>
          <w:noProof/>
        </w:rPr>
        <w:t>4</w:t>
      </w:r>
      <w:r>
        <w:fldChar w:fldCharType="end"/>
      </w:r>
      <w:r>
        <w:t xml:space="preserve">  202</w:t>
      </w:r>
      <w:r>
        <w:rPr>
          <w:rFonts w:hint="eastAsia"/>
        </w:rPr>
        <w:t>3</w:t>
      </w:r>
      <w:r>
        <w:t>.12-202</w:t>
      </w:r>
      <w:r>
        <w:rPr>
          <w:rFonts w:hint="eastAsia"/>
        </w:rPr>
        <w:t>4</w:t>
      </w:r>
      <w:r>
        <w:t>.</w:t>
      </w:r>
      <w:r>
        <w:rPr>
          <w:rFonts w:hint="eastAsia"/>
        </w:rPr>
        <w:t>6</w:t>
      </w:r>
      <w:proofErr w:type="gramStart"/>
      <w:r>
        <w:t>各</w:t>
      </w:r>
      <w:proofErr w:type="gramEnd"/>
      <w:r>
        <w:t>类互联网应用用户规模和网民使用率</w:t>
      </w:r>
    </w:p>
    <w:tbl>
      <w:tblPr>
        <w:tblStyle w:val="1414"/>
        <w:tblW w:w="5127" w:type="pct"/>
        <w:jc w:val="center"/>
        <w:tblBorders>
          <w:left w:val="none" w:sz="0" w:space="0" w:color="auto"/>
          <w:right w:val="none" w:sz="0" w:space="0" w:color="auto"/>
        </w:tblBorders>
        <w:tblLayout w:type="fixed"/>
        <w:tblCellMar>
          <w:left w:w="57" w:type="dxa"/>
          <w:right w:w="57" w:type="dxa"/>
        </w:tblCellMar>
        <w:tblLook w:val="04A0" w:firstRow="1" w:lastRow="0" w:firstColumn="1" w:lastColumn="0" w:noHBand="0" w:noVBand="1"/>
      </w:tblPr>
      <w:tblGrid>
        <w:gridCol w:w="2093"/>
        <w:gridCol w:w="1474"/>
        <w:gridCol w:w="1126"/>
        <w:gridCol w:w="1404"/>
        <w:gridCol w:w="1192"/>
        <w:gridCol w:w="1187"/>
      </w:tblGrid>
      <w:tr w:rsidR="008810A2" w14:paraId="572641DA" w14:textId="77777777" w:rsidTr="00AF278C">
        <w:trPr>
          <w:trHeight w:val="283"/>
          <w:jc w:val="center"/>
        </w:trPr>
        <w:tc>
          <w:tcPr>
            <w:tcW w:w="1235" w:type="pct"/>
            <w:noWrap/>
            <w:vAlign w:val="center"/>
          </w:tcPr>
          <w:p w14:paraId="2E703814" w14:textId="77777777" w:rsidR="008810A2" w:rsidRPr="00C30C50" w:rsidRDefault="00D921E0" w:rsidP="00AF278C">
            <w:pPr>
              <w:spacing w:line="324" w:lineRule="auto"/>
              <w:ind w:firstLine="36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应用</w:t>
            </w:r>
          </w:p>
        </w:tc>
        <w:tc>
          <w:tcPr>
            <w:tcW w:w="870" w:type="pct"/>
            <w:vAlign w:val="center"/>
          </w:tcPr>
          <w:p w14:paraId="22241C5A"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2023.12</w:t>
            </w:r>
            <w:r w:rsidRPr="00C30C50">
              <w:rPr>
                <w:rFonts w:ascii="Times New Roman" w:hAnsi="Times New Roman"/>
                <w:color w:val="000000" w:themeColor="text1"/>
                <w:kern w:val="0"/>
                <w:sz w:val="18"/>
                <w:szCs w:val="18"/>
              </w:rPr>
              <w:t>网民规模</w:t>
            </w:r>
          </w:p>
          <w:p w14:paraId="5E606E4D"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（万人）</w:t>
            </w:r>
          </w:p>
        </w:tc>
        <w:tc>
          <w:tcPr>
            <w:tcW w:w="664" w:type="pct"/>
            <w:vAlign w:val="center"/>
          </w:tcPr>
          <w:p w14:paraId="3474765C"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2023.12</w:t>
            </w:r>
            <w:r w:rsidRPr="00C30C50">
              <w:rPr>
                <w:rFonts w:ascii="Times New Roman" w:hAnsi="Times New Roman"/>
                <w:color w:val="000000" w:themeColor="text1"/>
                <w:kern w:val="0"/>
                <w:sz w:val="18"/>
                <w:szCs w:val="18"/>
              </w:rPr>
              <w:t>网民使用率</w:t>
            </w:r>
          </w:p>
        </w:tc>
        <w:tc>
          <w:tcPr>
            <w:tcW w:w="828" w:type="pct"/>
            <w:vAlign w:val="center"/>
          </w:tcPr>
          <w:p w14:paraId="72ED80F5"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2024.6</w:t>
            </w:r>
            <w:r w:rsidRPr="00C30C50">
              <w:rPr>
                <w:rFonts w:ascii="Times New Roman" w:hAnsi="Times New Roman"/>
                <w:color w:val="000000" w:themeColor="text1"/>
                <w:kern w:val="0"/>
                <w:sz w:val="18"/>
                <w:szCs w:val="18"/>
              </w:rPr>
              <w:t>网民规模</w:t>
            </w:r>
          </w:p>
          <w:p w14:paraId="1C793988"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（万人）</w:t>
            </w:r>
          </w:p>
        </w:tc>
        <w:tc>
          <w:tcPr>
            <w:tcW w:w="703" w:type="pct"/>
            <w:vAlign w:val="center"/>
          </w:tcPr>
          <w:p w14:paraId="71A0DA10"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2024.6</w:t>
            </w:r>
            <w:r w:rsidRPr="00C30C50">
              <w:rPr>
                <w:rFonts w:ascii="Times New Roman" w:hAnsi="Times New Roman"/>
                <w:color w:val="000000" w:themeColor="text1"/>
                <w:kern w:val="0"/>
                <w:sz w:val="18"/>
                <w:szCs w:val="18"/>
              </w:rPr>
              <w:t>网民使用率</w:t>
            </w:r>
          </w:p>
        </w:tc>
        <w:tc>
          <w:tcPr>
            <w:tcW w:w="701" w:type="pct"/>
            <w:vAlign w:val="center"/>
          </w:tcPr>
          <w:p w14:paraId="42DA98D7"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增长率</w:t>
            </w:r>
          </w:p>
        </w:tc>
      </w:tr>
      <w:tr w:rsidR="008810A2" w14:paraId="3F67BF4C" w14:textId="77777777" w:rsidTr="00AF278C">
        <w:trPr>
          <w:trHeight w:val="283"/>
          <w:jc w:val="center"/>
        </w:trPr>
        <w:tc>
          <w:tcPr>
            <w:tcW w:w="1235" w:type="pct"/>
            <w:noWrap/>
          </w:tcPr>
          <w:p w14:paraId="71B9288D"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即时通信</w:t>
            </w:r>
          </w:p>
          <w:p w14:paraId="675599B0" w14:textId="469A9C06"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网络视频</w:t>
            </w:r>
            <w:r w:rsidR="008A57AE" w:rsidRPr="008A57AE">
              <w:rPr>
                <w:rStyle w:val="affe"/>
                <w:rFonts w:ascii="Times New Roman" w:hAnsi="Times New Roman"/>
                <w:color w:val="000000" w:themeColor="text1"/>
                <w:kern w:val="0"/>
                <w:sz w:val="18"/>
                <w:szCs w:val="18"/>
              </w:rPr>
              <w:footnoteReference w:id="31"/>
            </w:r>
          </w:p>
          <w:p w14:paraId="59F5E780"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短视频</w:t>
            </w:r>
          </w:p>
          <w:p w14:paraId="49BF0F49"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网络支付</w:t>
            </w:r>
          </w:p>
          <w:p w14:paraId="41BA520A"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网络购物</w:t>
            </w:r>
          </w:p>
          <w:p w14:paraId="23EA2067"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搜索引擎</w:t>
            </w:r>
          </w:p>
          <w:p w14:paraId="67E9CFEE"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网络新闻</w:t>
            </w:r>
          </w:p>
          <w:p w14:paraId="0FDAC65D"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网络直播</w:t>
            </w:r>
          </w:p>
          <w:p w14:paraId="56F89CA6"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网络音乐</w:t>
            </w:r>
          </w:p>
          <w:p w14:paraId="1A9E755B"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网上外卖</w:t>
            </w:r>
          </w:p>
          <w:p w14:paraId="4C08F0DC"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网络文学</w:t>
            </w:r>
          </w:p>
          <w:p w14:paraId="0E0D08BC"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网约车</w:t>
            </w:r>
          </w:p>
          <w:p w14:paraId="2514BB7D"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在线旅行预订</w:t>
            </w:r>
          </w:p>
          <w:p w14:paraId="27695DD0"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互联网医疗</w:t>
            </w:r>
          </w:p>
          <w:p w14:paraId="1040BF45"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网络音频</w:t>
            </w:r>
          </w:p>
        </w:tc>
        <w:tc>
          <w:tcPr>
            <w:tcW w:w="870" w:type="pct"/>
          </w:tcPr>
          <w:p w14:paraId="1EF67137"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105,963</w:t>
            </w:r>
          </w:p>
          <w:p w14:paraId="6F6218D4"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106,671</w:t>
            </w:r>
          </w:p>
          <w:p w14:paraId="215F72A8"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105,330</w:t>
            </w:r>
          </w:p>
          <w:p w14:paraId="65BE5166"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95,386</w:t>
            </w:r>
          </w:p>
          <w:p w14:paraId="5145A300"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91,496</w:t>
            </w:r>
          </w:p>
          <w:p w14:paraId="778B14E2"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82,670</w:t>
            </w:r>
          </w:p>
          <w:p w14:paraId="2DAD12CC"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77,191</w:t>
            </w:r>
          </w:p>
          <w:p w14:paraId="63B6D6C7"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81,566</w:t>
            </w:r>
          </w:p>
          <w:p w14:paraId="785A72BF"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71,464</w:t>
            </w:r>
          </w:p>
          <w:p w14:paraId="40F0FD27"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54,454</w:t>
            </w:r>
          </w:p>
          <w:p w14:paraId="782C8D11"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52,017</w:t>
            </w:r>
          </w:p>
          <w:p w14:paraId="602CC574"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52,765</w:t>
            </w:r>
          </w:p>
          <w:p w14:paraId="309FCBC8"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50,901</w:t>
            </w:r>
          </w:p>
          <w:p w14:paraId="7D598CEC"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41,393</w:t>
            </w:r>
          </w:p>
          <w:p w14:paraId="6F802EB2"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33,189</w:t>
            </w:r>
          </w:p>
        </w:tc>
        <w:tc>
          <w:tcPr>
            <w:tcW w:w="664" w:type="pct"/>
          </w:tcPr>
          <w:p w14:paraId="238C5156"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97.0%</w:t>
            </w:r>
          </w:p>
          <w:p w14:paraId="59190EA8"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97.7%</w:t>
            </w:r>
          </w:p>
          <w:p w14:paraId="315428A3"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96.4%</w:t>
            </w:r>
          </w:p>
          <w:p w14:paraId="04A7B462"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87.3%</w:t>
            </w:r>
          </w:p>
          <w:p w14:paraId="30BFCBCD"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83.8%</w:t>
            </w:r>
          </w:p>
          <w:p w14:paraId="48FA33CA"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75.7%</w:t>
            </w:r>
          </w:p>
          <w:p w14:paraId="41A1AEB0"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70.7%</w:t>
            </w:r>
          </w:p>
          <w:p w14:paraId="72B77BC3"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74.7%</w:t>
            </w:r>
          </w:p>
          <w:p w14:paraId="0413E247"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65.4%</w:t>
            </w:r>
          </w:p>
          <w:p w14:paraId="09DC69C8"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49.9%</w:t>
            </w:r>
          </w:p>
          <w:p w14:paraId="67D2C2AB"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47.6%</w:t>
            </w:r>
          </w:p>
          <w:p w14:paraId="1B830FFC"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48.3%</w:t>
            </w:r>
          </w:p>
          <w:p w14:paraId="0E0905AD"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46.6%</w:t>
            </w:r>
          </w:p>
          <w:p w14:paraId="0B2B6A22"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37.9%</w:t>
            </w:r>
          </w:p>
          <w:p w14:paraId="1B935B3E"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30.4%</w:t>
            </w:r>
          </w:p>
        </w:tc>
        <w:tc>
          <w:tcPr>
            <w:tcW w:w="828" w:type="pct"/>
          </w:tcPr>
          <w:p w14:paraId="7F201889"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107,787</w:t>
            </w:r>
          </w:p>
          <w:p w14:paraId="0D5A36C2"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106,796</w:t>
            </w:r>
          </w:p>
          <w:p w14:paraId="58F37509"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105,037</w:t>
            </w:r>
          </w:p>
          <w:p w14:paraId="0EDDBBD4"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96,885</w:t>
            </w:r>
          </w:p>
          <w:p w14:paraId="6B7B7A85"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90,460</w:t>
            </w:r>
          </w:p>
          <w:p w14:paraId="7B183D98"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82,440</w:t>
            </w:r>
          </w:p>
          <w:p w14:paraId="6BFFE508"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76,441</w:t>
            </w:r>
          </w:p>
          <w:p w14:paraId="530244A3"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77,654</w:t>
            </w:r>
          </w:p>
          <w:p w14:paraId="19100E3D"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72,914</w:t>
            </w:r>
          </w:p>
          <w:p w14:paraId="17FEF8A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55,304</w:t>
            </w:r>
          </w:p>
          <w:p w14:paraId="2B95E4E1"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51,602</w:t>
            </w:r>
          </w:p>
          <w:p w14:paraId="307A46C8"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50,270</w:t>
            </w:r>
          </w:p>
          <w:p w14:paraId="5DFA459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49,721</w:t>
            </w:r>
          </w:p>
          <w:p w14:paraId="654C9103"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36,532</w:t>
            </w:r>
          </w:p>
          <w:p w14:paraId="4564142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31,976</w:t>
            </w:r>
          </w:p>
        </w:tc>
        <w:tc>
          <w:tcPr>
            <w:tcW w:w="703" w:type="pct"/>
          </w:tcPr>
          <w:p w14:paraId="2B6603DF"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98.0%</w:t>
            </w:r>
          </w:p>
          <w:p w14:paraId="03AF447A"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97.1%</w:t>
            </w:r>
          </w:p>
          <w:p w14:paraId="75E2B43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95.5%</w:t>
            </w:r>
          </w:p>
          <w:p w14:paraId="15288F2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88.1%</w:t>
            </w:r>
          </w:p>
          <w:p w14:paraId="500897AB"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82.3%</w:t>
            </w:r>
          </w:p>
          <w:p w14:paraId="74AF666A"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75.0%</w:t>
            </w:r>
          </w:p>
          <w:p w14:paraId="07F8F4E9"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69.5%</w:t>
            </w:r>
          </w:p>
          <w:p w14:paraId="74D8409E"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70.6%</w:t>
            </w:r>
          </w:p>
          <w:p w14:paraId="2733F386"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66.3%</w:t>
            </w:r>
          </w:p>
          <w:p w14:paraId="43415152" w14:textId="77777777" w:rsidR="00A057C8"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50.3%</w:t>
            </w:r>
          </w:p>
          <w:p w14:paraId="0F12148E" w14:textId="76D778C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46.9%</w:t>
            </w:r>
          </w:p>
          <w:p w14:paraId="43AB39E4"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45.7%</w:t>
            </w:r>
          </w:p>
          <w:p w14:paraId="1AD8C369"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45.2%</w:t>
            </w:r>
          </w:p>
          <w:p w14:paraId="08CD55FC"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33.2%</w:t>
            </w:r>
          </w:p>
          <w:p w14:paraId="486858EC"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29.1%</w:t>
            </w:r>
          </w:p>
        </w:tc>
        <w:tc>
          <w:tcPr>
            <w:tcW w:w="701" w:type="pct"/>
          </w:tcPr>
          <w:p w14:paraId="66282E4C"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1.7%</w:t>
            </w:r>
          </w:p>
          <w:p w14:paraId="2E850E46"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0.1%</w:t>
            </w:r>
          </w:p>
          <w:p w14:paraId="4181662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-0.3%</w:t>
            </w:r>
          </w:p>
          <w:p w14:paraId="1C38AE0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1.6%</w:t>
            </w:r>
          </w:p>
          <w:p w14:paraId="4578FD70"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-1.1%</w:t>
            </w:r>
          </w:p>
          <w:p w14:paraId="4D9F82AF"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-0.3%</w:t>
            </w:r>
          </w:p>
          <w:p w14:paraId="7B655AF9"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-1.0%</w:t>
            </w:r>
          </w:p>
          <w:p w14:paraId="7A5FF5C5"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-4.8%</w:t>
            </w:r>
          </w:p>
          <w:p w14:paraId="4E647563"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2.0%</w:t>
            </w:r>
          </w:p>
          <w:p w14:paraId="7EF82350"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1.6%</w:t>
            </w:r>
          </w:p>
          <w:p w14:paraId="106FB7CA"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-0.8%</w:t>
            </w:r>
          </w:p>
          <w:p w14:paraId="28EA8073"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-4.7%</w:t>
            </w:r>
          </w:p>
          <w:p w14:paraId="474E7ADE"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-2.3%</w:t>
            </w:r>
          </w:p>
          <w:p w14:paraId="28CC6E3E"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-11.7%</w:t>
            </w:r>
          </w:p>
          <w:p w14:paraId="45AE00F6"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-3.7%</w:t>
            </w:r>
          </w:p>
        </w:tc>
      </w:tr>
    </w:tbl>
    <w:p w14:paraId="0A22AFF6" w14:textId="77777777" w:rsidR="008810A2" w:rsidRDefault="00D921E0">
      <w:pPr>
        <w:pStyle w:val="2"/>
        <w:numPr>
          <w:ilvl w:val="0"/>
          <w:numId w:val="10"/>
        </w:numPr>
        <w:spacing w:before="400" w:after="300" w:line="312" w:lineRule="auto"/>
        <w:ind w:left="0" w:firstLine="0"/>
        <w:rPr>
          <w:rFonts w:eastAsia="黑体"/>
          <w:color w:val="000000" w:themeColor="text1"/>
          <w:sz w:val="36"/>
          <w:szCs w:val="36"/>
        </w:rPr>
      </w:pPr>
      <w:bookmarkStart w:id="220" w:name="_Toc175065711"/>
      <w:r>
        <w:rPr>
          <w:rFonts w:eastAsia="黑体"/>
          <w:color w:val="000000" w:themeColor="text1"/>
          <w:sz w:val="36"/>
          <w:szCs w:val="36"/>
        </w:rPr>
        <w:lastRenderedPageBreak/>
        <w:t>基础应用类应用</w:t>
      </w:r>
      <w:bookmarkEnd w:id="217"/>
      <w:bookmarkEnd w:id="220"/>
    </w:p>
    <w:p w14:paraId="6FC532AD" w14:textId="77777777" w:rsidR="008810A2" w:rsidRDefault="00D921E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221" w:name="_Toc175065712"/>
      <w:bookmarkStart w:id="222" w:name="_Toc78288091"/>
      <w:r>
        <w:rPr>
          <w:rFonts w:eastAsia="楷体_GB2312"/>
          <w:color w:val="000000" w:themeColor="text1"/>
          <w:sz w:val="30"/>
          <w:szCs w:val="30"/>
        </w:rPr>
        <w:t>即时通信</w:t>
      </w:r>
      <w:bookmarkEnd w:id="221"/>
    </w:p>
    <w:p w14:paraId="7B360D88" w14:textId="77777777" w:rsidR="008810A2" w:rsidRDefault="00D921E0">
      <w:pPr>
        <w:ind w:firstLine="420"/>
        <w:rPr>
          <w:szCs w:val="21"/>
        </w:rPr>
      </w:pPr>
      <w:r>
        <w:rPr>
          <w:szCs w:val="21"/>
        </w:rPr>
        <w:t>截至</w:t>
      </w:r>
      <w:r>
        <w:rPr>
          <w:szCs w:val="21"/>
        </w:rPr>
        <w:t>202</w:t>
      </w:r>
      <w:r>
        <w:rPr>
          <w:rFonts w:hint="eastAsia"/>
          <w:szCs w:val="21"/>
        </w:rPr>
        <w:t>4</w:t>
      </w:r>
      <w:r>
        <w:rPr>
          <w:szCs w:val="21"/>
        </w:rPr>
        <w:t>年</w:t>
      </w:r>
      <w:r>
        <w:rPr>
          <w:rFonts w:hint="eastAsia"/>
          <w:szCs w:val="21"/>
        </w:rPr>
        <w:t>6</w:t>
      </w:r>
      <w:r>
        <w:rPr>
          <w:szCs w:val="21"/>
        </w:rPr>
        <w:t>月，我国即时通信用户规模达</w:t>
      </w:r>
      <w:r>
        <w:rPr>
          <w:rFonts w:hint="eastAsia"/>
          <w:szCs w:val="21"/>
        </w:rPr>
        <w:t>10.78</w:t>
      </w:r>
      <w:r>
        <w:rPr>
          <w:szCs w:val="21"/>
        </w:rPr>
        <w:t>亿人，较</w:t>
      </w:r>
      <w:r>
        <w:rPr>
          <w:szCs w:val="21"/>
        </w:rPr>
        <w:t>202</w:t>
      </w:r>
      <w:r>
        <w:rPr>
          <w:rFonts w:hint="eastAsia"/>
          <w:szCs w:val="21"/>
        </w:rPr>
        <w:t>3</w:t>
      </w:r>
      <w:r>
        <w:rPr>
          <w:szCs w:val="21"/>
        </w:rPr>
        <w:t>年</w:t>
      </w:r>
      <w:r>
        <w:rPr>
          <w:szCs w:val="21"/>
        </w:rPr>
        <w:t>12</w:t>
      </w:r>
      <w:r>
        <w:rPr>
          <w:szCs w:val="21"/>
        </w:rPr>
        <w:t>月增长</w:t>
      </w:r>
      <w:r>
        <w:rPr>
          <w:rFonts w:hint="eastAsia"/>
          <w:szCs w:val="21"/>
        </w:rPr>
        <w:t>1824</w:t>
      </w:r>
      <w:r>
        <w:rPr>
          <w:szCs w:val="21"/>
        </w:rPr>
        <w:t>万人，占网民整体的</w:t>
      </w:r>
      <w:r>
        <w:rPr>
          <w:rFonts w:hint="eastAsia"/>
          <w:szCs w:val="21"/>
        </w:rPr>
        <w:t>98.0</w:t>
      </w:r>
      <w:r>
        <w:rPr>
          <w:szCs w:val="21"/>
        </w:rPr>
        <w:t>%</w:t>
      </w:r>
      <w:r>
        <w:rPr>
          <w:szCs w:val="21"/>
        </w:rPr>
        <w:t>。</w:t>
      </w:r>
    </w:p>
    <w:p w14:paraId="63B20FD1" w14:textId="77777777" w:rsidR="008810A2" w:rsidRDefault="00D921E0">
      <w:pPr>
        <w:keepNext/>
        <w:spacing w:beforeLines="50" w:before="156"/>
        <w:ind w:firstLineChars="0" w:firstLine="0"/>
        <w:jc w:val="center"/>
      </w:pPr>
      <w:r>
        <w:rPr>
          <w:rFonts w:eastAsia="仿宋"/>
          <w:noProof/>
          <w:sz w:val="24"/>
          <w:szCs w:val="20"/>
        </w:rPr>
        <w:drawing>
          <wp:inline distT="0" distB="0" distL="0" distR="0" wp14:anchorId="62940D04" wp14:editId="64C4338F">
            <wp:extent cx="4895850" cy="2876550"/>
            <wp:effectExtent l="4445" t="4445" r="6985" b="14605"/>
            <wp:docPr id="1955186512" name="图表 1955186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115B70B" w14:textId="4D65212B" w:rsidR="008810A2" w:rsidRDefault="00D921E0" w:rsidP="002B0D05">
      <w:pPr>
        <w:pStyle w:val="a4"/>
      </w:pPr>
      <w:r>
        <w:rPr>
          <w:rFonts w:eastAsia="宋体"/>
        </w:rPr>
        <w:t>图</w:t>
      </w:r>
      <w:r>
        <w:rPr>
          <w:rFonts w:eastAsia="宋体"/>
        </w:rPr>
        <w:t xml:space="preserve"> </w:t>
      </w:r>
      <w:r>
        <w:fldChar w:fldCharType="begin"/>
      </w:r>
      <w:r>
        <w:instrText xml:space="preserve"> SEQ </w:instrText>
      </w:r>
      <w:r>
        <w:instrText>图</w:instrText>
      </w:r>
      <w:r>
        <w:instrText xml:space="preserve"> \* ARABIC </w:instrText>
      </w:r>
      <w:r>
        <w:fldChar w:fldCharType="separate"/>
      </w:r>
      <w:r w:rsidR="00A057C8">
        <w:rPr>
          <w:noProof/>
        </w:rPr>
        <w:t>23</w:t>
      </w:r>
      <w:r>
        <w:fldChar w:fldCharType="end"/>
      </w:r>
      <w:r>
        <w:t xml:space="preserve">  20</w:t>
      </w:r>
      <w:r>
        <w:rPr>
          <w:rFonts w:hint="eastAsia"/>
        </w:rPr>
        <w:t>22</w:t>
      </w:r>
      <w:r>
        <w:t>.</w:t>
      </w:r>
      <w:r>
        <w:rPr>
          <w:rFonts w:hint="eastAsia"/>
        </w:rPr>
        <w:t>6</w:t>
      </w:r>
      <w:r>
        <w:t>-2024.6</w:t>
      </w:r>
      <w:r>
        <w:rPr>
          <w:rFonts w:eastAsia="宋体"/>
        </w:rPr>
        <w:t>即时通信用户规模及使用率</w:t>
      </w:r>
    </w:p>
    <w:p w14:paraId="791BECF8" w14:textId="77777777" w:rsidR="008810A2" w:rsidRDefault="00D921E0">
      <w:pPr>
        <w:ind w:firstLine="420"/>
        <w:rPr>
          <w:szCs w:val="21"/>
        </w:rPr>
      </w:pPr>
      <w:r>
        <w:rPr>
          <w:szCs w:val="21"/>
        </w:rPr>
        <w:t>202</w:t>
      </w:r>
      <w:r>
        <w:rPr>
          <w:rFonts w:hint="eastAsia"/>
          <w:szCs w:val="21"/>
        </w:rPr>
        <w:t>4</w:t>
      </w:r>
      <w:r>
        <w:rPr>
          <w:szCs w:val="21"/>
        </w:rPr>
        <w:t>年</w:t>
      </w:r>
      <w:r>
        <w:rPr>
          <w:rFonts w:hint="eastAsia"/>
          <w:szCs w:val="21"/>
        </w:rPr>
        <w:t>上半年</w:t>
      </w:r>
      <w:r>
        <w:rPr>
          <w:szCs w:val="21"/>
        </w:rPr>
        <w:t>，即时通信</w:t>
      </w:r>
      <w:r>
        <w:rPr>
          <w:rFonts w:hint="eastAsia"/>
          <w:szCs w:val="21"/>
        </w:rPr>
        <w:t>产品的视频号、小程序等业务进一步发展，在商业化能力、公共服务能力等方面持续提升</w:t>
      </w:r>
      <w:r>
        <w:rPr>
          <w:szCs w:val="21"/>
        </w:rPr>
        <w:t>。</w:t>
      </w:r>
    </w:p>
    <w:p w14:paraId="3F5EED57" w14:textId="77777777" w:rsidR="008810A2" w:rsidRDefault="00D921E0">
      <w:pPr>
        <w:ind w:firstLine="422"/>
        <w:rPr>
          <w:szCs w:val="21"/>
        </w:rPr>
      </w:pPr>
      <w:r>
        <w:rPr>
          <w:rFonts w:hint="eastAsia"/>
          <w:b/>
          <w:bCs/>
          <w:szCs w:val="21"/>
        </w:rPr>
        <w:t>一是视频号的用户使用习惯逐渐形成，商业化潜力初步显现。</w:t>
      </w:r>
      <w:r>
        <w:rPr>
          <w:rFonts w:hint="eastAsia"/>
          <w:szCs w:val="21"/>
        </w:rPr>
        <w:t>即时通信企业在过去几年来一直将短视频作为重点培养的业务方向，通过长期的流量扶持与创作者激励，用户通过即时通信软件收看短视频的使用习惯逐渐形成。数据显示，</w:t>
      </w:r>
      <w:proofErr w:type="gramStart"/>
      <w:r>
        <w:rPr>
          <w:rFonts w:hint="eastAsia"/>
          <w:szCs w:val="21"/>
        </w:rPr>
        <w:t>微信视频</w:t>
      </w:r>
      <w:proofErr w:type="gramEnd"/>
      <w:r>
        <w:rPr>
          <w:rFonts w:hint="eastAsia"/>
          <w:szCs w:val="21"/>
        </w:rPr>
        <w:t>号的总用户使用时长同比增长超过</w:t>
      </w:r>
      <w:r>
        <w:rPr>
          <w:rFonts w:hint="eastAsia"/>
          <w:szCs w:val="21"/>
        </w:rPr>
        <w:t>80%</w:t>
      </w:r>
      <w:r>
        <w:rPr>
          <w:rStyle w:val="affe"/>
          <w:szCs w:val="21"/>
        </w:rPr>
        <w:footnoteReference w:id="32"/>
      </w:r>
      <w:r>
        <w:rPr>
          <w:rFonts w:hint="eastAsia"/>
          <w:szCs w:val="21"/>
        </w:rPr>
        <w:t>。随着用户使用时长的增加，即时通信企业进一步拓展直播带货的商品品类，并利用激励政策激发视频创作者的创作活力和带货热情，从而挖掘视频号功能的商业化潜力。</w:t>
      </w:r>
    </w:p>
    <w:p w14:paraId="37C3F733" w14:textId="77777777" w:rsidR="008810A2" w:rsidRDefault="00D921E0">
      <w:pPr>
        <w:ind w:firstLine="422"/>
        <w:rPr>
          <w:szCs w:val="21"/>
        </w:rPr>
      </w:pPr>
      <w:r>
        <w:rPr>
          <w:rFonts w:hint="eastAsia"/>
          <w:b/>
          <w:bCs/>
          <w:szCs w:val="21"/>
        </w:rPr>
        <w:t>二是小程序进一步强化即时通信的公共服务属性，提升用户粘性。</w:t>
      </w:r>
      <w:r>
        <w:rPr>
          <w:rFonts w:hint="eastAsia"/>
          <w:szCs w:val="21"/>
        </w:rPr>
        <w:t>即时通信企业将小程序作为拓展产品服务生态的主要功能，持续提升小程序在政务、公益、助农、助残等领域</w:t>
      </w:r>
      <w:r>
        <w:rPr>
          <w:rFonts w:hint="eastAsia"/>
          <w:szCs w:val="21"/>
        </w:rPr>
        <w:lastRenderedPageBreak/>
        <w:t>的渗透水平，拉动小程序的使用次数和使用时</w:t>
      </w:r>
      <w:proofErr w:type="gramStart"/>
      <w:r>
        <w:rPr>
          <w:rFonts w:hint="eastAsia"/>
          <w:szCs w:val="21"/>
        </w:rPr>
        <w:t>长明显</w:t>
      </w:r>
      <w:proofErr w:type="gramEnd"/>
      <w:r>
        <w:rPr>
          <w:rFonts w:hint="eastAsia"/>
          <w:szCs w:val="21"/>
        </w:rPr>
        <w:t>增长。国家市场监督管理总局</w:t>
      </w:r>
      <w:proofErr w:type="gramStart"/>
      <w:r>
        <w:rPr>
          <w:rFonts w:hint="eastAsia"/>
          <w:szCs w:val="21"/>
        </w:rPr>
        <w:t>通过微信小</w:t>
      </w:r>
      <w:proofErr w:type="gramEnd"/>
      <w:r>
        <w:rPr>
          <w:rFonts w:hint="eastAsia"/>
          <w:szCs w:val="21"/>
        </w:rPr>
        <w:t>程序上线“个体工商户年报”功能，实现全国入口统一、总局官方认证、商户快捷填报，切实做到让数据多跑路、群众少跑腿</w:t>
      </w:r>
      <w:r>
        <w:rPr>
          <w:rStyle w:val="affe"/>
          <w:szCs w:val="21"/>
        </w:rPr>
        <w:footnoteReference w:id="33"/>
      </w:r>
      <w:r>
        <w:rPr>
          <w:rFonts w:hint="eastAsia"/>
          <w:szCs w:val="21"/>
        </w:rPr>
        <w:t>；北京市税务局在“京通”小程序上线</w:t>
      </w:r>
      <w:r>
        <w:rPr>
          <w:rFonts w:hint="eastAsia"/>
          <w:szCs w:val="21"/>
        </w:rPr>
        <w:t>21</w:t>
      </w:r>
      <w:r>
        <w:rPr>
          <w:rFonts w:hint="eastAsia"/>
          <w:szCs w:val="21"/>
        </w:rPr>
        <w:t>项税费业务，覆盖社保费缴纳、车船税申报、车辆购置税申报等方面，上半年通过小程序办理业务</w:t>
      </w:r>
      <w:r>
        <w:rPr>
          <w:rFonts w:hint="eastAsia"/>
          <w:szCs w:val="21"/>
        </w:rPr>
        <w:t>33</w:t>
      </w:r>
      <w:r>
        <w:rPr>
          <w:rFonts w:hint="eastAsia"/>
          <w:szCs w:val="21"/>
        </w:rPr>
        <w:t>万笔</w:t>
      </w:r>
      <w:r>
        <w:rPr>
          <w:rStyle w:val="affe"/>
          <w:szCs w:val="21"/>
        </w:rPr>
        <w:footnoteReference w:id="34"/>
      </w:r>
      <w:r>
        <w:rPr>
          <w:rFonts w:hint="eastAsia"/>
          <w:szCs w:val="21"/>
        </w:rPr>
        <w:t>。数据显示，</w:t>
      </w:r>
      <w:proofErr w:type="gramStart"/>
      <w:r>
        <w:rPr>
          <w:rFonts w:hint="eastAsia"/>
          <w:szCs w:val="21"/>
        </w:rPr>
        <w:t>微信小</w:t>
      </w:r>
      <w:proofErr w:type="gramEnd"/>
      <w:r>
        <w:rPr>
          <w:rFonts w:hint="eastAsia"/>
          <w:szCs w:val="21"/>
        </w:rPr>
        <w:t>程序的总用户使用时长同比增长超过</w:t>
      </w:r>
      <w:r>
        <w:rPr>
          <w:rFonts w:hint="eastAsia"/>
          <w:szCs w:val="21"/>
        </w:rPr>
        <w:t>20%</w:t>
      </w:r>
      <w:r>
        <w:rPr>
          <w:rFonts w:hint="eastAsia"/>
          <w:szCs w:val="21"/>
        </w:rPr>
        <w:t>，非游戏类小程序的日均使用次数实现同比两位数增长</w:t>
      </w:r>
      <w:r>
        <w:rPr>
          <w:rStyle w:val="affe"/>
          <w:szCs w:val="21"/>
        </w:rPr>
        <w:footnoteReference w:id="35"/>
      </w:r>
      <w:r>
        <w:rPr>
          <w:rFonts w:hint="eastAsia"/>
          <w:szCs w:val="21"/>
        </w:rPr>
        <w:t>。</w:t>
      </w:r>
    </w:p>
    <w:p w14:paraId="73EF3C23" w14:textId="77777777" w:rsidR="008810A2" w:rsidRDefault="00D921E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223" w:name="_Toc175065713"/>
      <w:bookmarkStart w:id="224" w:name="_Toc140143158"/>
      <w:bookmarkStart w:id="225" w:name="_Toc78288090"/>
      <w:bookmarkStart w:id="226" w:name="_Toc110950396"/>
      <w:r>
        <w:rPr>
          <w:rFonts w:eastAsia="楷体_GB2312"/>
          <w:color w:val="000000" w:themeColor="text1"/>
          <w:sz w:val="30"/>
          <w:szCs w:val="30"/>
        </w:rPr>
        <w:t>搜索引擎</w:t>
      </w:r>
      <w:bookmarkEnd w:id="223"/>
    </w:p>
    <w:bookmarkEnd w:id="224"/>
    <w:bookmarkEnd w:id="225"/>
    <w:bookmarkEnd w:id="226"/>
    <w:p w14:paraId="3BE2F809" w14:textId="77777777" w:rsidR="008810A2" w:rsidRDefault="00D921E0">
      <w:pPr>
        <w:ind w:firstLine="420"/>
      </w:pPr>
      <w:r>
        <w:rPr>
          <w:rFonts w:hint="eastAsia"/>
        </w:rPr>
        <w:t>截至</w:t>
      </w:r>
      <w:r>
        <w:t>2024</w:t>
      </w:r>
      <w:r>
        <w:rPr>
          <w:rFonts w:hint="eastAsia"/>
        </w:rPr>
        <w:t>年</w:t>
      </w:r>
      <w:r>
        <w:t>6</w:t>
      </w:r>
      <w:r>
        <w:rPr>
          <w:rFonts w:hint="eastAsia"/>
        </w:rPr>
        <w:t>月，我国搜索引擎用户规模达</w:t>
      </w:r>
      <w:r>
        <w:t>8.24</w:t>
      </w:r>
      <w:r>
        <w:rPr>
          <w:rFonts w:hint="eastAsia"/>
        </w:rPr>
        <w:t>亿人，占网民整体的</w:t>
      </w:r>
      <w:r>
        <w:t>75.0%</w:t>
      </w:r>
      <w:r>
        <w:rPr>
          <w:rFonts w:hint="eastAsia"/>
        </w:rPr>
        <w:t>。</w:t>
      </w:r>
    </w:p>
    <w:p w14:paraId="0D524BB6" w14:textId="77777777" w:rsidR="008810A2" w:rsidRDefault="00D921E0">
      <w:pPr>
        <w:pStyle w:val="afff4"/>
        <w:spacing w:before="156"/>
      </w:pPr>
      <w:r>
        <w:rPr>
          <w:rFonts w:hint="eastAsia"/>
          <w:noProof/>
        </w:rPr>
        <w:drawing>
          <wp:inline distT="0" distB="0" distL="0" distR="0" wp14:anchorId="55FADE5F" wp14:editId="1431D228">
            <wp:extent cx="4902200" cy="2882900"/>
            <wp:effectExtent l="4445" t="4445" r="15875" b="825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92F41D0" w14:textId="4F574761" w:rsidR="008810A2" w:rsidRDefault="00D921E0">
      <w:pPr>
        <w:spacing w:beforeLines="50" w:before="156"/>
        <w:ind w:firstLine="420"/>
        <w:jc w:val="center"/>
        <w:rPr>
          <w:szCs w:val="21"/>
        </w:rPr>
      </w:pPr>
      <w:r>
        <w:rPr>
          <w:rFonts w:hint="eastAsia"/>
          <w:szCs w:val="21"/>
        </w:rPr>
        <w:t>图</w:t>
      </w:r>
      <w:r>
        <w:rPr>
          <w:szCs w:val="21"/>
        </w:rPr>
        <w:t xml:space="preserve"> </w:t>
      </w:r>
      <w:r>
        <w:rPr>
          <w:szCs w:val="21"/>
        </w:rPr>
        <w:fldChar w:fldCharType="begin"/>
      </w:r>
      <w:r>
        <w:rPr>
          <w:szCs w:val="21"/>
        </w:rPr>
        <w:instrText xml:space="preserve"> SEQ </w:instrText>
      </w:r>
      <w:r>
        <w:rPr>
          <w:rFonts w:hint="eastAsia"/>
          <w:szCs w:val="21"/>
        </w:rPr>
        <w:instrText>图</w:instrText>
      </w:r>
      <w:r>
        <w:rPr>
          <w:szCs w:val="21"/>
        </w:rPr>
        <w:instrText xml:space="preserve"> \* ARABIC </w:instrText>
      </w:r>
      <w:r>
        <w:rPr>
          <w:szCs w:val="21"/>
        </w:rPr>
        <w:fldChar w:fldCharType="separate"/>
      </w:r>
      <w:r w:rsidR="00A057C8">
        <w:rPr>
          <w:noProof/>
          <w:szCs w:val="21"/>
        </w:rPr>
        <w:t>24</w:t>
      </w:r>
      <w:r>
        <w:rPr>
          <w:szCs w:val="21"/>
        </w:rPr>
        <w:fldChar w:fldCharType="end"/>
      </w:r>
      <w:r>
        <w:rPr>
          <w:szCs w:val="21"/>
        </w:rPr>
        <w:t xml:space="preserve">  </w:t>
      </w:r>
      <w:r>
        <w:t>2022.6-2024.6</w:t>
      </w:r>
      <w:r>
        <w:rPr>
          <w:rFonts w:hint="eastAsia"/>
        </w:rPr>
        <w:t>搜索引擎用户规模及使用率</w:t>
      </w:r>
    </w:p>
    <w:p w14:paraId="14FC80FD" w14:textId="77777777" w:rsidR="008810A2" w:rsidRDefault="00D921E0">
      <w:pPr>
        <w:ind w:firstLine="420"/>
      </w:pPr>
      <w:r>
        <w:rPr>
          <w:rFonts w:hint="eastAsia"/>
        </w:rPr>
        <w:t>2</w:t>
      </w:r>
      <w:r>
        <w:t>024</w:t>
      </w:r>
      <w:r>
        <w:rPr>
          <w:rFonts w:hint="eastAsia"/>
        </w:rPr>
        <w:t>年上半年，搜索引擎</w:t>
      </w:r>
      <w:r>
        <w:rPr>
          <w:rFonts w:ascii="Arial" w:hAnsi="Arial" w:cs="Arial" w:hint="eastAsia"/>
        </w:rPr>
        <w:t>持续融合人工智能技术</w:t>
      </w:r>
      <w:r>
        <w:rPr>
          <w:rFonts w:hint="eastAsia"/>
        </w:rPr>
        <w:t>，</w:t>
      </w:r>
      <w:r>
        <w:t>推动</w:t>
      </w:r>
      <w:r>
        <w:rPr>
          <w:rFonts w:hint="eastAsia"/>
        </w:rPr>
        <w:t>搜索服务效能不断提升。</w:t>
      </w:r>
    </w:p>
    <w:p w14:paraId="35ED14C5" w14:textId="77777777" w:rsidR="008810A2" w:rsidRDefault="00D921E0">
      <w:pPr>
        <w:ind w:firstLine="422"/>
        <w:rPr>
          <w:lang w:val="zh-CN"/>
        </w:rPr>
      </w:pPr>
      <w:r>
        <w:rPr>
          <w:rFonts w:hint="eastAsia"/>
          <w:b/>
        </w:rPr>
        <w:t>一是搜索引擎利用人工智能技术，不断提升精准度。</w:t>
      </w:r>
      <w:r>
        <w:rPr>
          <w:rFonts w:hint="eastAsia"/>
        </w:rPr>
        <w:t>百度搜索中已有</w:t>
      </w:r>
      <w:r>
        <w:rPr>
          <w:rFonts w:hint="eastAsia"/>
        </w:rPr>
        <w:t>11%</w:t>
      </w:r>
      <w:r>
        <w:rPr>
          <w:rFonts w:hint="eastAsia"/>
        </w:rPr>
        <w:t>的搜索结果由人工智能生成，首条结果满足问答需求的比例已达</w:t>
      </w:r>
      <w:r>
        <w:rPr>
          <w:rFonts w:hint="eastAsia"/>
        </w:rPr>
        <w:t>70%</w:t>
      </w:r>
      <w:r>
        <w:rPr>
          <w:rStyle w:val="affe"/>
        </w:rPr>
        <w:footnoteReference w:id="36"/>
      </w:r>
      <w:r>
        <w:rPr>
          <w:rFonts w:hint="eastAsia"/>
        </w:rPr>
        <w:t>。搜索结果的精准性进一步带动了用户的使用需求，百度搜索日均新增问答需求超过</w:t>
      </w:r>
      <w:r>
        <w:rPr>
          <w:rFonts w:hint="eastAsia"/>
        </w:rPr>
        <w:t>5000</w:t>
      </w:r>
      <w:r>
        <w:rPr>
          <w:rFonts w:hint="eastAsia"/>
        </w:rPr>
        <w:t>万</w:t>
      </w:r>
      <w:r>
        <w:rPr>
          <w:rStyle w:val="affe"/>
        </w:rPr>
        <w:footnoteReference w:id="37"/>
      </w:r>
      <w:r>
        <w:rPr>
          <w:rFonts w:hint="eastAsia"/>
        </w:rPr>
        <w:t>。“</w:t>
      </w:r>
      <w:r>
        <w:rPr>
          <w:rFonts w:hint="eastAsia"/>
        </w:rPr>
        <w:t>360 AI</w:t>
      </w:r>
      <w:r>
        <w:rPr>
          <w:rFonts w:hint="eastAsia"/>
        </w:rPr>
        <w:t>搜索”帮助用户</w:t>
      </w:r>
      <w:r>
        <w:rPr>
          <w:rFonts w:hint="eastAsia"/>
        </w:rPr>
        <w:lastRenderedPageBreak/>
        <w:t>获取和理解多语言信息，实现</w:t>
      </w:r>
      <w:r>
        <w:t>多语言搜索</w:t>
      </w:r>
      <w:r>
        <w:rPr>
          <w:rFonts w:hint="eastAsia"/>
        </w:rPr>
        <w:t>；打破文档格式限制，实现多模态搜索；运用</w:t>
      </w:r>
      <w:r>
        <w:rPr>
          <w:rFonts w:hint="eastAsia"/>
        </w:rPr>
        <w:t>AI</w:t>
      </w:r>
      <w:r>
        <w:rPr>
          <w:rFonts w:hint="eastAsia"/>
        </w:rPr>
        <w:t>助手，实现多任务搜索。人工智能技术的运用使</w:t>
      </w:r>
      <w:r>
        <w:t>搜索内容从</w:t>
      </w:r>
      <w:r>
        <w:rPr>
          <w:rFonts w:hint="eastAsia"/>
        </w:rPr>
        <w:t>“</w:t>
      </w:r>
      <w:r>
        <w:t>模糊</w:t>
      </w:r>
      <w:r>
        <w:rPr>
          <w:rFonts w:hint="eastAsia"/>
        </w:rPr>
        <w:t>”到“</w:t>
      </w:r>
      <w:r>
        <w:t>精准</w:t>
      </w:r>
      <w:r>
        <w:rPr>
          <w:rFonts w:hint="eastAsia"/>
        </w:rPr>
        <w:t>”</w:t>
      </w:r>
      <w:r>
        <w:t>，用户体验</w:t>
      </w:r>
      <w:r>
        <w:rPr>
          <w:rFonts w:hint="eastAsia"/>
        </w:rPr>
        <w:t>大幅提升</w:t>
      </w:r>
      <w:r>
        <w:t>。</w:t>
      </w:r>
    </w:p>
    <w:p w14:paraId="63429F82" w14:textId="77777777" w:rsidR="008810A2" w:rsidRDefault="00D921E0">
      <w:pPr>
        <w:ind w:firstLine="422"/>
      </w:pPr>
      <w:r>
        <w:rPr>
          <w:b/>
        </w:rPr>
        <w:t>二</w:t>
      </w:r>
      <w:r>
        <w:rPr>
          <w:rFonts w:hint="eastAsia"/>
          <w:b/>
        </w:rPr>
        <w:t>是搜索引擎拓展应用场景边界，丰富生成类型。</w:t>
      </w:r>
      <w:r>
        <w:rPr>
          <w:rFonts w:hint="eastAsia"/>
        </w:rPr>
        <w:t>从垂直领域来看，网易有道推出</w:t>
      </w:r>
      <w:r>
        <w:rPr>
          <w:rFonts w:hint="eastAsia"/>
        </w:rPr>
        <w:t>AI</w:t>
      </w:r>
      <w:r>
        <w:rPr>
          <w:rFonts w:hint="eastAsia"/>
        </w:rPr>
        <w:t>家庭教师，通过深度学习和大模型技术，为学生提供个性化、全时段的在线学习支持；从处理形式来看，百度“文心一格”依据描述内容生成对应的高质量图像，实现了从文本形式到图文视觉形式的转换，满足了用户多样化需求。从通用搜索向垂直领域扩展，从文本生成向视觉内容生成转变，搜索引擎实现跨越式发展。</w:t>
      </w:r>
    </w:p>
    <w:p w14:paraId="0DEE252E" w14:textId="77777777" w:rsidR="008810A2" w:rsidRDefault="00D921E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227" w:name="_Toc175065714"/>
      <w:bookmarkStart w:id="228" w:name="_Toc130371062"/>
      <w:bookmarkStart w:id="229" w:name="_Toc51771141"/>
      <w:bookmarkStart w:id="230" w:name="_Toc78288092"/>
      <w:bookmarkEnd w:id="222"/>
      <w:r>
        <w:rPr>
          <w:rFonts w:eastAsia="楷体_GB2312"/>
          <w:color w:val="000000" w:themeColor="text1"/>
          <w:sz w:val="30"/>
          <w:szCs w:val="30"/>
        </w:rPr>
        <w:t>线上办公</w:t>
      </w:r>
      <w:bookmarkEnd w:id="227"/>
    </w:p>
    <w:p w14:paraId="04151F38" w14:textId="77777777" w:rsidR="008810A2" w:rsidRDefault="00D921E0">
      <w:pPr>
        <w:ind w:firstLine="420"/>
      </w:pPr>
      <w:r>
        <w:t>截至</w:t>
      </w:r>
      <w:r>
        <w:t>2024</w:t>
      </w:r>
      <w:r>
        <w:t>年</w:t>
      </w:r>
      <w:r>
        <w:t>6</w:t>
      </w:r>
      <w:r>
        <w:t>月，我国线上办公用户规模达</w:t>
      </w:r>
      <w:r>
        <w:t>5.0</w:t>
      </w:r>
      <w:r>
        <w:t>亿人，</w:t>
      </w:r>
      <w:r>
        <w:rPr>
          <w:rFonts w:hint="eastAsia"/>
        </w:rPr>
        <w:t>占网民整体的</w:t>
      </w:r>
      <w:r>
        <w:t>45.4%</w:t>
      </w:r>
      <w:r>
        <w:rPr>
          <w:rFonts w:hint="eastAsia"/>
        </w:rPr>
        <w:t>。</w:t>
      </w:r>
    </w:p>
    <w:p w14:paraId="395B6217" w14:textId="77777777" w:rsidR="008810A2" w:rsidRDefault="00D921E0">
      <w:pPr>
        <w:pStyle w:val="afff4"/>
        <w:spacing w:before="156" w:line="360" w:lineRule="auto"/>
        <w:ind w:firstLine="420"/>
        <w:rPr>
          <w:rFonts w:ascii="Times New Roman" w:hAnsi="Times New Roman"/>
        </w:rPr>
      </w:pPr>
      <w:r>
        <w:rPr>
          <w:rFonts w:ascii="Times New Roman" w:hAnsi="Times New Roman"/>
          <w:noProof/>
        </w:rPr>
        <w:drawing>
          <wp:inline distT="0" distB="0" distL="0" distR="0" wp14:anchorId="565814BB" wp14:editId="0C203FB9">
            <wp:extent cx="4895850" cy="2876550"/>
            <wp:effectExtent l="4445" t="4445" r="6985" b="14605"/>
            <wp:docPr id="345422392" name="图表 345422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CECF6C" w14:textId="2C315A53" w:rsidR="008810A2" w:rsidRDefault="00D921E0" w:rsidP="002B0D05">
      <w:pPr>
        <w:pStyle w:val="a4"/>
      </w:pPr>
      <w:r>
        <w:rPr>
          <w:rFonts w:eastAsiaTheme="majorEastAsia"/>
        </w:rPr>
        <w:t>图</w:t>
      </w:r>
      <w:r>
        <w:rPr>
          <w:rFonts w:eastAsiaTheme="majorEastAsia"/>
        </w:rPr>
        <w:t xml:space="preserve"> </w:t>
      </w:r>
      <w:r>
        <w:rPr>
          <w:rFonts w:eastAsiaTheme="majorEastAsia"/>
        </w:rPr>
        <w:fldChar w:fldCharType="begin"/>
      </w:r>
      <w:r>
        <w:rPr>
          <w:rFonts w:eastAsiaTheme="majorEastAsia"/>
        </w:rPr>
        <w:instrText xml:space="preserve"> SEQ </w:instrText>
      </w:r>
      <w:r>
        <w:rPr>
          <w:rFonts w:eastAsiaTheme="majorEastAsia"/>
        </w:rPr>
        <w:instrText>图</w:instrText>
      </w:r>
      <w:r>
        <w:rPr>
          <w:rFonts w:eastAsiaTheme="majorEastAsia"/>
        </w:rPr>
        <w:instrText xml:space="preserve"> \* ARABIC </w:instrText>
      </w:r>
      <w:r>
        <w:rPr>
          <w:rFonts w:eastAsiaTheme="majorEastAsia"/>
        </w:rPr>
        <w:fldChar w:fldCharType="separate"/>
      </w:r>
      <w:r w:rsidR="00A057C8">
        <w:rPr>
          <w:rFonts w:eastAsiaTheme="majorEastAsia"/>
          <w:noProof/>
        </w:rPr>
        <w:t>25</w:t>
      </w:r>
      <w:r>
        <w:rPr>
          <w:rFonts w:eastAsiaTheme="majorEastAsia"/>
        </w:rPr>
        <w:fldChar w:fldCharType="end"/>
      </w:r>
      <w:r>
        <w:t xml:space="preserve">  2022.6-2024.6</w:t>
      </w:r>
      <w:r>
        <w:t>线上办公用户规模及使用率</w:t>
      </w:r>
    </w:p>
    <w:p w14:paraId="75F80526" w14:textId="77777777" w:rsidR="008810A2" w:rsidRDefault="00D921E0">
      <w:pPr>
        <w:ind w:firstLine="420"/>
      </w:pPr>
      <w:r>
        <w:t>2024</w:t>
      </w:r>
      <w:r>
        <w:t>年上半年，我国线上办公</w:t>
      </w:r>
      <w:r>
        <w:rPr>
          <w:rFonts w:hint="eastAsia"/>
        </w:rPr>
        <w:t>产品</w:t>
      </w:r>
      <w:r>
        <w:t>不断</w:t>
      </w:r>
      <w:r>
        <w:rPr>
          <w:rFonts w:hint="eastAsia"/>
        </w:rPr>
        <w:t>加速人工智能</w:t>
      </w:r>
      <w:r>
        <w:t>技术应用，</w:t>
      </w:r>
      <w:r>
        <w:rPr>
          <w:rFonts w:hint="eastAsia"/>
        </w:rPr>
        <w:t>并通过打通生态壁垒，为用户</w:t>
      </w:r>
      <w:r>
        <w:t>打造</w:t>
      </w:r>
      <w:r>
        <w:rPr>
          <w:rFonts w:hint="eastAsia"/>
        </w:rPr>
        <w:t>更加完善便捷的</w:t>
      </w:r>
      <w:r>
        <w:t>办公</w:t>
      </w:r>
      <w:r>
        <w:rPr>
          <w:rFonts w:hint="eastAsia"/>
        </w:rPr>
        <w:t>环境</w:t>
      </w:r>
      <w:r>
        <w:t>。</w:t>
      </w:r>
    </w:p>
    <w:p w14:paraId="46EA755F" w14:textId="77777777" w:rsidR="008810A2" w:rsidRDefault="00D921E0">
      <w:pPr>
        <w:ind w:firstLine="422"/>
      </w:pPr>
      <w:r>
        <w:rPr>
          <w:b/>
        </w:rPr>
        <w:t>一是线上办公</w:t>
      </w:r>
      <w:r>
        <w:rPr>
          <w:rFonts w:hint="eastAsia"/>
          <w:b/>
        </w:rPr>
        <w:t>产品应用人工智能</w:t>
      </w:r>
      <w:r>
        <w:rPr>
          <w:b/>
        </w:rPr>
        <w:t>技术</w:t>
      </w:r>
      <w:r>
        <w:rPr>
          <w:rFonts w:hint="eastAsia"/>
          <w:b/>
        </w:rPr>
        <w:t>，提升办公效率。</w:t>
      </w:r>
      <w:proofErr w:type="gramStart"/>
      <w:r>
        <w:t>腾讯会议</w:t>
      </w:r>
      <w:proofErr w:type="gramEnd"/>
      <w:r>
        <w:rPr>
          <w:rFonts w:hint="eastAsia"/>
        </w:rPr>
        <w:t>、</w:t>
      </w:r>
      <w:proofErr w:type="gramStart"/>
      <w:r>
        <w:rPr>
          <w:rFonts w:hint="eastAsia"/>
        </w:rPr>
        <w:t>腾讯文档</w:t>
      </w:r>
      <w:proofErr w:type="gramEnd"/>
      <w:r>
        <w:rPr>
          <w:rFonts w:hint="eastAsia"/>
        </w:rPr>
        <w:t>嵌入</w:t>
      </w:r>
      <w:r>
        <w:rPr>
          <w:rFonts w:hint="eastAsia"/>
        </w:rPr>
        <w:t>AI</w:t>
      </w:r>
      <w:r>
        <w:rPr>
          <w:rFonts w:hint="eastAsia"/>
        </w:rPr>
        <w:t>功能，帮助用户快速生成会议</w:t>
      </w:r>
      <w:r>
        <w:t>纪要</w:t>
      </w:r>
      <w:r>
        <w:rPr>
          <w:rFonts w:hint="eastAsia"/>
        </w:rPr>
        <w:t>、编辑办公文档、提供个性化定制服务等；</w:t>
      </w:r>
      <w:r>
        <w:rPr>
          <w:rFonts w:hint="eastAsia"/>
        </w:rPr>
        <w:t>3</w:t>
      </w:r>
      <w:r>
        <w:t>60</w:t>
      </w:r>
      <w:r>
        <w:rPr>
          <w:rFonts w:hint="eastAsia"/>
        </w:rPr>
        <w:t>发布“</w:t>
      </w:r>
      <w:r>
        <w:rPr>
          <w:rFonts w:hint="eastAsia"/>
        </w:rPr>
        <w:t>360AI</w:t>
      </w:r>
      <w:r>
        <w:rPr>
          <w:rFonts w:hint="eastAsia"/>
        </w:rPr>
        <w:t>办公”，涵盖图片处理、写作辅助、文档编辑等五大场景，并为用户提供上百款工具，助力高效办公。</w:t>
      </w:r>
      <w:r>
        <w:t>人工智能在工作场景的深度运用，</w:t>
      </w:r>
      <w:r>
        <w:rPr>
          <w:rFonts w:hint="eastAsia"/>
        </w:rPr>
        <w:t>带来了</w:t>
      </w:r>
      <w:r>
        <w:t>更加高效、智能的工作方式。</w:t>
      </w:r>
    </w:p>
    <w:p w14:paraId="2BA5A3F1" w14:textId="77777777" w:rsidR="008810A2" w:rsidRDefault="00D921E0">
      <w:pPr>
        <w:ind w:firstLine="422"/>
      </w:pPr>
      <w:r>
        <w:rPr>
          <w:rFonts w:hint="eastAsia"/>
          <w:b/>
        </w:rPr>
        <w:t>二是线上办公产品间打通生态壁垒，创造便利环境。</w:t>
      </w:r>
      <w:r>
        <w:t>钉钉会议</w:t>
      </w:r>
      <w:proofErr w:type="gramStart"/>
      <w:r>
        <w:t>与微信</w:t>
      </w:r>
      <w:r>
        <w:rPr>
          <w:rFonts w:hint="eastAsia"/>
        </w:rPr>
        <w:t>打通</w:t>
      </w:r>
      <w:proofErr w:type="gramEnd"/>
      <w:r>
        <w:rPr>
          <w:rFonts w:hint="eastAsia"/>
        </w:rPr>
        <w:t>，使用户可</w:t>
      </w:r>
      <w:r>
        <w:rPr>
          <w:rFonts w:hint="eastAsia"/>
        </w:rPr>
        <w:lastRenderedPageBreak/>
        <w:t>以在微信内直接使用钉钉会议，有效提升会议即时性、便捷性；</w:t>
      </w:r>
      <w:r>
        <w:t>金山办公集成</w:t>
      </w:r>
      <w:r>
        <w:rPr>
          <w:rFonts w:hint="eastAsia"/>
        </w:rPr>
        <w:t>百度“</w:t>
      </w:r>
      <w:r>
        <w:t>文心一言</w:t>
      </w:r>
      <w:r>
        <w:rPr>
          <w:rFonts w:hint="eastAsia"/>
        </w:rPr>
        <w:t>”</w:t>
      </w:r>
      <w:r>
        <w:t>、</w:t>
      </w:r>
      <w:r>
        <w:rPr>
          <w:rFonts w:hint="eastAsia"/>
        </w:rPr>
        <w:t>阿里云“</w:t>
      </w:r>
      <w:r>
        <w:t>通义千问</w:t>
      </w:r>
      <w:r>
        <w:rPr>
          <w:rFonts w:hint="eastAsia"/>
        </w:rPr>
        <w:t>”</w:t>
      </w:r>
      <w:r>
        <w:t>等大模型，使用户</w:t>
      </w:r>
      <w:r>
        <w:rPr>
          <w:rFonts w:hint="eastAsia"/>
        </w:rPr>
        <w:t>能</w:t>
      </w:r>
      <w:r>
        <w:t>在一个平台中调用</w:t>
      </w:r>
      <w:proofErr w:type="gramStart"/>
      <w:r>
        <w:rPr>
          <w:rFonts w:hint="eastAsia"/>
        </w:rPr>
        <w:t>多款</w:t>
      </w:r>
      <w:r>
        <w:t>大模型</w:t>
      </w:r>
      <w:proofErr w:type="gramEnd"/>
      <w:r>
        <w:rPr>
          <w:rFonts w:hint="eastAsia"/>
        </w:rPr>
        <w:t>，从而更好地适配不同办公场景中的使用需求。办公产品间</w:t>
      </w:r>
      <w:r>
        <w:t>打通</w:t>
      </w:r>
      <w:r>
        <w:rPr>
          <w:rFonts w:hint="eastAsia"/>
        </w:rPr>
        <w:t>、</w:t>
      </w:r>
      <w:r>
        <w:t>整合，</w:t>
      </w:r>
      <w:r>
        <w:rPr>
          <w:rFonts w:hint="eastAsia"/>
        </w:rPr>
        <w:t>为用户打造出更加</w:t>
      </w:r>
      <w:r>
        <w:t>便捷</w:t>
      </w:r>
      <w:r>
        <w:rPr>
          <w:rFonts w:hint="eastAsia"/>
        </w:rPr>
        <w:t>、</w:t>
      </w:r>
      <w:r>
        <w:t>完善的</w:t>
      </w:r>
      <w:r>
        <w:rPr>
          <w:rFonts w:hint="eastAsia"/>
        </w:rPr>
        <w:t>办公生态环境。</w:t>
      </w:r>
    </w:p>
    <w:p w14:paraId="0C8F13A5" w14:textId="77777777" w:rsidR="008810A2" w:rsidRDefault="00D921E0">
      <w:pPr>
        <w:pStyle w:val="2"/>
        <w:numPr>
          <w:ilvl w:val="0"/>
          <w:numId w:val="10"/>
        </w:numPr>
        <w:spacing w:before="400" w:after="300" w:line="312" w:lineRule="auto"/>
        <w:ind w:left="0" w:firstLine="0"/>
        <w:rPr>
          <w:rFonts w:eastAsia="黑体"/>
          <w:color w:val="000000" w:themeColor="text1"/>
          <w:sz w:val="36"/>
          <w:szCs w:val="36"/>
        </w:rPr>
      </w:pPr>
      <w:bookmarkStart w:id="231" w:name="_Toc78288093"/>
      <w:bookmarkStart w:id="232" w:name="_Toc175065715"/>
      <w:bookmarkEnd w:id="228"/>
      <w:bookmarkEnd w:id="229"/>
      <w:bookmarkEnd w:id="230"/>
      <w:r>
        <w:rPr>
          <w:rFonts w:eastAsia="黑体"/>
          <w:color w:val="000000" w:themeColor="text1"/>
          <w:sz w:val="36"/>
          <w:szCs w:val="36"/>
        </w:rPr>
        <w:t>商务交易类应用</w:t>
      </w:r>
      <w:bookmarkEnd w:id="231"/>
      <w:bookmarkEnd w:id="232"/>
    </w:p>
    <w:p w14:paraId="67F1522B" w14:textId="77777777" w:rsidR="008810A2" w:rsidRDefault="00D921E0">
      <w:pPr>
        <w:keepLines/>
        <w:numPr>
          <w:ilvl w:val="0"/>
          <w:numId w:val="12"/>
        </w:numPr>
        <w:topLinePunct/>
        <w:snapToGrid w:val="0"/>
        <w:spacing w:before="320" w:after="200"/>
        <w:ind w:firstLineChars="0"/>
        <w:outlineLvl w:val="2"/>
        <w:rPr>
          <w:rFonts w:eastAsia="楷体_GB2312"/>
          <w:color w:val="000000" w:themeColor="text1"/>
          <w:sz w:val="30"/>
          <w:szCs w:val="30"/>
        </w:rPr>
      </w:pPr>
      <w:bookmarkStart w:id="233" w:name="_Toc175065716"/>
      <w:bookmarkStart w:id="234" w:name="_Toc4413"/>
      <w:bookmarkStart w:id="235" w:name="_Toc18202"/>
      <w:bookmarkStart w:id="236" w:name="_Toc130371064"/>
      <w:bookmarkStart w:id="237" w:name="_Toc16766"/>
      <w:bookmarkStart w:id="238" w:name="_Toc7488"/>
      <w:bookmarkStart w:id="239" w:name="_Toc5049"/>
      <w:bookmarkStart w:id="240" w:name="_Toc78288094"/>
      <w:r>
        <w:rPr>
          <w:rFonts w:eastAsia="楷体_GB2312"/>
          <w:color w:val="000000" w:themeColor="text1"/>
          <w:sz w:val="30"/>
          <w:szCs w:val="30"/>
        </w:rPr>
        <w:t>网络支付</w:t>
      </w:r>
      <w:bookmarkEnd w:id="233"/>
    </w:p>
    <w:p w14:paraId="2FEA226D" w14:textId="77777777" w:rsidR="008810A2" w:rsidRDefault="00D921E0">
      <w:pPr>
        <w:ind w:firstLine="420"/>
      </w:pPr>
      <w:r>
        <w:rPr>
          <w:rFonts w:hint="eastAsia"/>
        </w:rPr>
        <w:t>截至</w:t>
      </w:r>
      <w:r>
        <w:rPr>
          <w:rFonts w:hint="eastAsia"/>
        </w:rPr>
        <w:t>2024</w:t>
      </w:r>
      <w:r>
        <w:rPr>
          <w:rFonts w:hint="eastAsia"/>
        </w:rPr>
        <w:t>年</w:t>
      </w:r>
      <w:r>
        <w:rPr>
          <w:rFonts w:hint="eastAsia"/>
        </w:rPr>
        <w:t>6</w:t>
      </w:r>
      <w:r>
        <w:rPr>
          <w:rFonts w:hint="eastAsia"/>
        </w:rPr>
        <w:t>月，我国网络支付用户规模达</w:t>
      </w:r>
      <w:r>
        <w:rPr>
          <w:rFonts w:hint="eastAsia"/>
        </w:rPr>
        <w:t>9.69</w:t>
      </w:r>
      <w:r>
        <w:rPr>
          <w:rFonts w:hint="eastAsia"/>
        </w:rPr>
        <w:t>亿人，较</w:t>
      </w:r>
      <w:r>
        <w:rPr>
          <w:rFonts w:hint="eastAsia"/>
        </w:rPr>
        <w:t>2023</w:t>
      </w:r>
      <w:r>
        <w:rPr>
          <w:rFonts w:hint="eastAsia"/>
        </w:rPr>
        <w:t>年</w:t>
      </w:r>
      <w:r>
        <w:rPr>
          <w:rFonts w:hint="eastAsia"/>
        </w:rPr>
        <w:t>12</w:t>
      </w:r>
      <w:r>
        <w:rPr>
          <w:rFonts w:hint="eastAsia"/>
        </w:rPr>
        <w:t>月增长</w:t>
      </w:r>
      <w:r>
        <w:rPr>
          <w:rFonts w:hint="eastAsia"/>
        </w:rPr>
        <w:t>1498</w:t>
      </w:r>
      <w:r>
        <w:rPr>
          <w:rFonts w:hint="eastAsia"/>
        </w:rPr>
        <w:t>万人，占网民整体的</w:t>
      </w:r>
      <w:r>
        <w:rPr>
          <w:rFonts w:hint="eastAsia"/>
        </w:rPr>
        <w:t>88.1%</w:t>
      </w:r>
      <w:r>
        <w:rPr>
          <w:rFonts w:hint="eastAsia"/>
        </w:rPr>
        <w:t>。</w:t>
      </w:r>
    </w:p>
    <w:p w14:paraId="44376B2A" w14:textId="77777777" w:rsidR="008810A2" w:rsidRDefault="00D921E0">
      <w:pPr>
        <w:ind w:firstLineChars="91" w:firstLine="218"/>
        <w:rPr>
          <w:color w:val="000000" w:themeColor="text1"/>
        </w:rPr>
      </w:pPr>
      <w:r>
        <w:rPr>
          <w:rFonts w:eastAsia="仿宋"/>
          <w:noProof/>
          <w:sz w:val="24"/>
          <w:szCs w:val="20"/>
        </w:rPr>
        <w:drawing>
          <wp:inline distT="0" distB="0" distL="0" distR="0" wp14:anchorId="4C39645D" wp14:editId="50CC1A8D">
            <wp:extent cx="4895850" cy="2876550"/>
            <wp:effectExtent l="4445" t="4445" r="6985" b="14605"/>
            <wp:docPr id="1755996257" name="图表 1755996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D17139C" w14:textId="2CECEFA3"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26</w:t>
      </w:r>
      <w:r>
        <w:fldChar w:fldCharType="end"/>
      </w:r>
      <w:r>
        <w:t xml:space="preserve">  2022.6-2024.6</w:t>
      </w:r>
      <w:r>
        <w:t>网络支付用户规模及使用率</w:t>
      </w:r>
    </w:p>
    <w:p w14:paraId="195809FC" w14:textId="77777777" w:rsidR="008810A2" w:rsidRDefault="00D921E0">
      <w:pPr>
        <w:topLinePunct/>
        <w:adjustRightInd w:val="0"/>
        <w:ind w:firstLine="420"/>
        <w:rPr>
          <w:bCs/>
          <w:color w:val="000000" w:themeColor="text1"/>
          <w:szCs w:val="21"/>
        </w:rPr>
      </w:pPr>
      <w:r>
        <w:rPr>
          <w:rFonts w:hint="eastAsia"/>
          <w:bCs/>
          <w:color w:val="000000" w:themeColor="text1"/>
          <w:szCs w:val="21"/>
        </w:rPr>
        <w:t>3</w:t>
      </w:r>
      <w:r>
        <w:rPr>
          <w:rFonts w:hint="eastAsia"/>
          <w:bCs/>
          <w:color w:val="000000" w:themeColor="text1"/>
          <w:szCs w:val="21"/>
        </w:rPr>
        <w:t>月，国务院办公厅印发</w:t>
      </w:r>
      <w:r>
        <w:rPr>
          <w:rFonts w:hint="eastAsia"/>
        </w:rPr>
        <w:t>《关于进一步优化支付服务提升支付便利性的意见》</w:t>
      </w:r>
      <w:r>
        <w:rPr>
          <w:rFonts w:hint="eastAsia"/>
          <w:bCs/>
          <w:color w:val="000000" w:themeColor="text1"/>
          <w:szCs w:val="21"/>
        </w:rPr>
        <w:t>，统筹力量打通支付服务存在的堵点，进一步满足“老”“外”多样化支付服务需求，有效提升支付便利化水平，完善支付服务体系。</w:t>
      </w:r>
    </w:p>
    <w:p w14:paraId="6183D8DE" w14:textId="77777777" w:rsidR="008810A2" w:rsidRDefault="00D921E0">
      <w:pPr>
        <w:topLinePunct/>
        <w:adjustRightInd w:val="0"/>
        <w:ind w:firstLine="422"/>
      </w:pPr>
      <w:r>
        <w:rPr>
          <w:rFonts w:hint="eastAsia"/>
          <w:b/>
          <w:bCs/>
        </w:rPr>
        <w:t>平台着力提升老年群体支付便利性。一是不断优化移动支付服务。</w:t>
      </w:r>
      <w:r>
        <w:rPr>
          <w:rFonts w:hint="eastAsia"/>
        </w:rPr>
        <w:t>目前，主要移动支付</w:t>
      </w:r>
      <w:r>
        <w:rPr>
          <w:rFonts w:hint="eastAsia"/>
        </w:rPr>
        <w:t>APP</w:t>
      </w:r>
      <w:r>
        <w:rPr>
          <w:rFonts w:hint="eastAsia"/>
        </w:rPr>
        <w:t>均已</w:t>
      </w:r>
      <w:proofErr w:type="gramStart"/>
      <w:r>
        <w:rPr>
          <w:rFonts w:hint="eastAsia"/>
        </w:rPr>
        <w:t>进行了适老化</w:t>
      </w:r>
      <w:proofErr w:type="gramEnd"/>
      <w:r>
        <w:rPr>
          <w:rFonts w:hint="eastAsia"/>
        </w:rPr>
        <w:t>升级，通过简化流程、添加温馨提示、增加语言播报、放大字体图像、专线人工客服等多种方式，</w:t>
      </w:r>
      <w:r>
        <w:t>提升老年群体移动支付服务体验</w:t>
      </w:r>
      <w:r>
        <w:rPr>
          <w:rFonts w:hint="eastAsia"/>
        </w:rPr>
        <w:t>。</w:t>
      </w:r>
      <w:r>
        <w:rPr>
          <w:rFonts w:hint="eastAsia"/>
          <w:b/>
          <w:bCs/>
        </w:rPr>
        <w:t>二是持续强化支付</w:t>
      </w:r>
      <w:proofErr w:type="gramStart"/>
      <w:r>
        <w:rPr>
          <w:rFonts w:hint="eastAsia"/>
          <w:b/>
          <w:bCs/>
        </w:rPr>
        <w:t>适</w:t>
      </w:r>
      <w:proofErr w:type="gramEnd"/>
      <w:r>
        <w:rPr>
          <w:rFonts w:hint="eastAsia"/>
          <w:b/>
          <w:bCs/>
        </w:rPr>
        <w:t>老化宣传。</w:t>
      </w:r>
      <w:r>
        <w:rPr>
          <w:rFonts w:hint="eastAsia"/>
          <w:bCs/>
        </w:rPr>
        <w:t>综合运用多种宣传渠道，深入社区、养老院等老年人聚集地，有针对性地宣传网络支付相关知识，增强老年群体的使用安全感，</w:t>
      </w:r>
      <w:r>
        <w:rPr>
          <w:rFonts w:hint="eastAsia"/>
        </w:rPr>
        <w:t>确保老年群体能用、会用网络支付。截至</w:t>
      </w:r>
      <w:r>
        <w:rPr>
          <w:rFonts w:hint="eastAsia"/>
        </w:rPr>
        <w:t>6</w:t>
      </w:r>
      <w:r>
        <w:rPr>
          <w:rFonts w:hint="eastAsia"/>
        </w:rPr>
        <w:t>月，</w:t>
      </w:r>
      <w:r>
        <w:rPr>
          <w:rFonts w:hint="eastAsia"/>
        </w:rPr>
        <w:lastRenderedPageBreak/>
        <w:t>我国</w:t>
      </w:r>
      <w:r>
        <w:rPr>
          <w:rFonts w:hint="eastAsia"/>
        </w:rPr>
        <w:t>60</w:t>
      </w:r>
      <w:r>
        <w:rPr>
          <w:rFonts w:hint="eastAsia"/>
        </w:rPr>
        <w:t>岁及以上老年群体对网络支付使用率达</w:t>
      </w:r>
      <w:r>
        <w:rPr>
          <w:rFonts w:hint="eastAsia"/>
        </w:rPr>
        <w:t>75.4%</w:t>
      </w:r>
      <w:r>
        <w:rPr>
          <w:rFonts w:hint="eastAsia"/>
        </w:rPr>
        <w:t>，用户规模达</w:t>
      </w:r>
      <w:r>
        <w:rPr>
          <w:rFonts w:hint="eastAsia"/>
        </w:rPr>
        <w:t>1.17</w:t>
      </w:r>
      <w:r>
        <w:rPr>
          <w:rFonts w:hint="eastAsia"/>
        </w:rPr>
        <w:t>亿人。</w:t>
      </w:r>
    </w:p>
    <w:p w14:paraId="1A23B210" w14:textId="363D964C" w:rsidR="008810A2" w:rsidRDefault="00D921E0">
      <w:pPr>
        <w:topLinePunct/>
        <w:adjustRightInd w:val="0"/>
        <w:ind w:firstLine="422"/>
      </w:pPr>
      <w:r>
        <w:rPr>
          <w:rFonts w:hint="eastAsia"/>
          <w:b/>
          <w:color w:val="000000" w:themeColor="text1"/>
          <w:szCs w:val="21"/>
        </w:rPr>
        <w:t>外籍来华人员移动支付使用意愿不断提升。</w:t>
      </w:r>
      <w:r>
        <w:rPr>
          <w:rFonts w:hint="eastAsia"/>
          <w:bCs/>
          <w:color w:val="000000" w:themeColor="text1"/>
          <w:szCs w:val="21"/>
        </w:rPr>
        <w:t>中国人民银行扩大“外卡内绑</w:t>
      </w:r>
      <w:r>
        <w:rPr>
          <w:rStyle w:val="affe"/>
          <w:bCs/>
          <w:color w:val="000000" w:themeColor="text1"/>
          <w:szCs w:val="21"/>
        </w:rPr>
        <w:footnoteReference w:id="38"/>
      </w:r>
      <w:r>
        <w:rPr>
          <w:rFonts w:hint="eastAsia"/>
          <w:bCs/>
          <w:color w:val="000000" w:themeColor="text1"/>
          <w:szCs w:val="21"/>
        </w:rPr>
        <w:t>”、“外包内用</w:t>
      </w:r>
      <w:r>
        <w:rPr>
          <w:rStyle w:val="affe"/>
          <w:bCs/>
          <w:color w:val="000000" w:themeColor="text1"/>
          <w:szCs w:val="21"/>
        </w:rPr>
        <w:footnoteReference w:id="39"/>
      </w:r>
      <w:r>
        <w:rPr>
          <w:rFonts w:hint="eastAsia"/>
          <w:bCs/>
          <w:color w:val="000000" w:themeColor="text1"/>
          <w:szCs w:val="21"/>
        </w:rPr>
        <w:t>”的业务范围，通过指导支付机构优化业务流程、大幅提升交易限额、开展用户分层认证试点等举措，改善外籍来华人员移动支付使用体验。外籍来华人员可直接使用境外手机</w:t>
      </w:r>
      <w:proofErr w:type="gramStart"/>
      <w:r>
        <w:rPr>
          <w:rFonts w:hint="eastAsia"/>
          <w:bCs/>
          <w:color w:val="000000" w:themeColor="text1"/>
          <w:szCs w:val="21"/>
        </w:rPr>
        <w:t>号注册</w:t>
      </w:r>
      <w:proofErr w:type="gramEnd"/>
      <w:r>
        <w:rPr>
          <w:rFonts w:hint="eastAsia"/>
          <w:bCs/>
          <w:color w:val="000000" w:themeColor="text1"/>
          <w:szCs w:val="21"/>
        </w:rPr>
        <w:t>支付宝、</w:t>
      </w:r>
      <w:proofErr w:type="gramStart"/>
      <w:r>
        <w:rPr>
          <w:rFonts w:hint="eastAsia"/>
          <w:bCs/>
          <w:color w:val="000000" w:themeColor="text1"/>
          <w:szCs w:val="21"/>
        </w:rPr>
        <w:t>微信等</w:t>
      </w:r>
      <w:proofErr w:type="gramEnd"/>
      <w:r>
        <w:rPr>
          <w:rFonts w:hint="eastAsia"/>
          <w:bCs/>
          <w:color w:val="000000" w:themeColor="text1"/>
          <w:szCs w:val="21"/>
        </w:rPr>
        <w:t>，并绑定境外银行卡进行支付；新加坡、泰国等九地入境人员可直接使用境外电子</w:t>
      </w:r>
      <w:proofErr w:type="gramStart"/>
      <w:r>
        <w:rPr>
          <w:rFonts w:hint="eastAsia"/>
          <w:bCs/>
          <w:color w:val="000000" w:themeColor="text1"/>
          <w:szCs w:val="21"/>
        </w:rPr>
        <w:t>钱包扫码支付</w:t>
      </w:r>
      <w:proofErr w:type="gramEnd"/>
      <w:r>
        <w:rPr>
          <w:rFonts w:hint="eastAsia"/>
          <w:bCs/>
          <w:color w:val="000000" w:themeColor="text1"/>
          <w:szCs w:val="21"/>
        </w:rPr>
        <w:t>。上半年，超</w:t>
      </w:r>
      <w:r>
        <w:rPr>
          <w:rFonts w:hint="eastAsia"/>
          <w:bCs/>
          <w:color w:val="000000" w:themeColor="text1"/>
          <w:szCs w:val="21"/>
        </w:rPr>
        <w:t>500</w:t>
      </w:r>
      <w:r>
        <w:rPr>
          <w:rFonts w:hint="eastAsia"/>
          <w:bCs/>
          <w:color w:val="000000" w:themeColor="text1"/>
          <w:szCs w:val="21"/>
        </w:rPr>
        <w:t>万入境人员使用移动支付，同比增长</w:t>
      </w:r>
      <w:r>
        <w:rPr>
          <w:rFonts w:hint="eastAsia"/>
          <w:bCs/>
          <w:color w:val="000000" w:themeColor="text1"/>
          <w:szCs w:val="21"/>
        </w:rPr>
        <w:t>4</w:t>
      </w:r>
      <w:r>
        <w:rPr>
          <w:rFonts w:hint="eastAsia"/>
          <w:bCs/>
          <w:color w:val="000000" w:themeColor="text1"/>
          <w:szCs w:val="21"/>
        </w:rPr>
        <w:t>倍；交易</w:t>
      </w:r>
      <w:r>
        <w:rPr>
          <w:rFonts w:hint="eastAsia"/>
          <w:bCs/>
          <w:color w:val="000000" w:themeColor="text1"/>
          <w:szCs w:val="21"/>
        </w:rPr>
        <w:t>9000</w:t>
      </w:r>
      <w:r>
        <w:rPr>
          <w:rFonts w:hint="eastAsia"/>
          <w:bCs/>
          <w:color w:val="000000" w:themeColor="text1"/>
          <w:szCs w:val="21"/>
        </w:rPr>
        <w:t>多万笔，金额</w:t>
      </w:r>
      <w:r>
        <w:rPr>
          <w:rFonts w:hint="eastAsia"/>
          <w:bCs/>
          <w:color w:val="000000" w:themeColor="text1"/>
          <w:szCs w:val="21"/>
        </w:rPr>
        <w:t>140</w:t>
      </w:r>
      <w:r>
        <w:rPr>
          <w:rFonts w:hint="eastAsia"/>
          <w:bCs/>
          <w:color w:val="000000" w:themeColor="text1"/>
          <w:szCs w:val="21"/>
        </w:rPr>
        <w:t>多亿元，均同比增长</w:t>
      </w:r>
      <w:r w:rsidR="00530388">
        <w:rPr>
          <w:rFonts w:hint="eastAsia"/>
          <w:bCs/>
          <w:color w:val="000000" w:themeColor="text1"/>
          <w:szCs w:val="21"/>
        </w:rPr>
        <w:t>7</w:t>
      </w:r>
      <w:r>
        <w:rPr>
          <w:rFonts w:hint="eastAsia"/>
          <w:bCs/>
          <w:color w:val="000000" w:themeColor="text1"/>
          <w:szCs w:val="21"/>
        </w:rPr>
        <w:t>倍</w:t>
      </w:r>
      <w:r>
        <w:rPr>
          <w:rStyle w:val="affe"/>
          <w:bCs/>
          <w:color w:val="000000" w:themeColor="text1"/>
          <w:szCs w:val="21"/>
        </w:rPr>
        <w:footnoteReference w:id="40"/>
      </w:r>
      <w:r>
        <w:rPr>
          <w:rFonts w:hint="eastAsia"/>
          <w:bCs/>
          <w:color w:val="000000" w:themeColor="text1"/>
          <w:szCs w:val="21"/>
        </w:rPr>
        <w:t>。</w:t>
      </w:r>
    </w:p>
    <w:p w14:paraId="6672DB7D" w14:textId="77777777" w:rsidR="008810A2" w:rsidRDefault="00D921E0">
      <w:pPr>
        <w:keepLines/>
        <w:numPr>
          <w:ilvl w:val="0"/>
          <w:numId w:val="12"/>
        </w:numPr>
        <w:topLinePunct/>
        <w:snapToGrid w:val="0"/>
        <w:spacing w:before="320" w:after="200"/>
        <w:ind w:firstLineChars="0"/>
        <w:outlineLvl w:val="2"/>
        <w:rPr>
          <w:rFonts w:eastAsia="楷体_GB2312"/>
          <w:color w:val="000000" w:themeColor="text1"/>
          <w:sz w:val="30"/>
          <w:szCs w:val="30"/>
        </w:rPr>
      </w:pPr>
      <w:bookmarkStart w:id="241" w:name="_Toc175065717"/>
      <w:bookmarkEnd w:id="234"/>
      <w:bookmarkEnd w:id="235"/>
      <w:bookmarkEnd w:id="236"/>
      <w:bookmarkEnd w:id="237"/>
      <w:bookmarkEnd w:id="238"/>
      <w:bookmarkEnd w:id="239"/>
      <w:r>
        <w:rPr>
          <w:rFonts w:eastAsia="楷体_GB2312"/>
          <w:color w:val="000000" w:themeColor="text1"/>
          <w:sz w:val="30"/>
          <w:szCs w:val="30"/>
        </w:rPr>
        <w:t>网络购物</w:t>
      </w:r>
      <w:bookmarkEnd w:id="241"/>
    </w:p>
    <w:p w14:paraId="5F5B35C8" w14:textId="77777777" w:rsidR="008810A2" w:rsidRDefault="00D921E0">
      <w:pPr>
        <w:ind w:firstLine="420"/>
        <w:rPr>
          <w:color w:val="000000" w:themeColor="text1"/>
          <w:szCs w:val="21"/>
        </w:rPr>
      </w:pPr>
      <w:bookmarkStart w:id="242" w:name="_Toc128662655"/>
      <w:bookmarkStart w:id="243" w:name="_Hlk140738271"/>
      <w:bookmarkStart w:id="244" w:name="_Toc137715993"/>
      <w:bookmarkStart w:id="245" w:name="_Toc78288097"/>
      <w:bookmarkEnd w:id="240"/>
      <w:r>
        <w:rPr>
          <w:color w:val="000000" w:themeColor="text1"/>
          <w:lang w:val="zh-CN"/>
        </w:rPr>
        <w:t>截至</w:t>
      </w:r>
      <w:r>
        <w:rPr>
          <w:color w:val="000000" w:themeColor="text1"/>
          <w:lang w:val="zh-CN"/>
        </w:rPr>
        <w:t>2024</w:t>
      </w:r>
      <w:r>
        <w:rPr>
          <w:color w:val="000000" w:themeColor="text1"/>
          <w:lang w:val="zh-CN"/>
        </w:rPr>
        <w:t>年</w:t>
      </w:r>
      <w:r>
        <w:rPr>
          <w:color w:val="000000" w:themeColor="text1"/>
          <w:lang w:val="zh-CN"/>
        </w:rPr>
        <w:t>6</w:t>
      </w:r>
      <w:r>
        <w:rPr>
          <w:color w:val="000000" w:themeColor="text1"/>
          <w:lang w:val="zh-CN"/>
        </w:rPr>
        <w:t>月，我国网络购物用户规模达</w:t>
      </w:r>
      <w:r>
        <w:rPr>
          <w:rFonts w:hint="eastAsia"/>
          <w:color w:val="000000" w:themeColor="text1"/>
          <w:lang w:val="zh-CN"/>
        </w:rPr>
        <w:t>9.05</w:t>
      </w:r>
      <w:r>
        <w:rPr>
          <w:color w:val="000000" w:themeColor="text1"/>
          <w:lang w:val="zh-CN"/>
        </w:rPr>
        <w:t>亿</w:t>
      </w:r>
      <w:r>
        <w:rPr>
          <w:rFonts w:hint="eastAsia"/>
          <w:color w:val="000000" w:themeColor="text1"/>
          <w:lang w:val="zh-CN"/>
        </w:rPr>
        <w:t>人</w:t>
      </w:r>
      <w:r>
        <w:rPr>
          <w:color w:val="000000" w:themeColor="text1"/>
          <w:lang w:val="zh-CN"/>
        </w:rPr>
        <w:t>，占网民整体的</w:t>
      </w:r>
      <w:r>
        <w:rPr>
          <w:color w:val="000000" w:themeColor="text1"/>
          <w:lang w:val="zh-CN"/>
        </w:rPr>
        <w:t>82.</w:t>
      </w:r>
      <w:r>
        <w:rPr>
          <w:rFonts w:hint="eastAsia"/>
          <w:color w:val="000000" w:themeColor="text1"/>
          <w:lang w:val="zh-CN"/>
        </w:rPr>
        <w:t>3</w:t>
      </w:r>
      <w:r>
        <w:rPr>
          <w:color w:val="000000" w:themeColor="text1"/>
          <w:lang w:val="zh-CN"/>
        </w:rPr>
        <w:t>%</w:t>
      </w:r>
      <w:r>
        <w:rPr>
          <w:color w:val="000000" w:themeColor="text1"/>
          <w:lang w:val="zh-CN"/>
        </w:rPr>
        <w:t>。</w:t>
      </w:r>
    </w:p>
    <w:p w14:paraId="492B1EA9" w14:textId="77777777" w:rsidR="008810A2" w:rsidRDefault="00D921E0">
      <w:pPr>
        <w:ind w:firstLine="420"/>
      </w:pPr>
      <w:r>
        <w:rPr>
          <w:noProof/>
        </w:rPr>
        <w:drawing>
          <wp:inline distT="0" distB="0" distL="0" distR="0" wp14:anchorId="41237A19" wp14:editId="090FF9FC">
            <wp:extent cx="4895850" cy="2876550"/>
            <wp:effectExtent l="4445" t="4445" r="6985" b="14605"/>
            <wp:docPr id="1724776089" name="图表 1724776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6440D8B" w14:textId="663F337F"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27</w:t>
      </w:r>
      <w:r>
        <w:fldChar w:fldCharType="end"/>
      </w:r>
      <w:r>
        <w:t xml:space="preserve">  202</w:t>
      </w:r>
      <w:r>
        <w:rPr>
          <w:rFonts w:hint="eastAsia"/>
        </w:rPr>
        <w:t>2</w:t>
      </w:r>
      <w:r>
        <w:t>.6-2024.6</w:t>
      </w:r>
      <w:r>
        <w:t>网络购物用户规模及使用率</w:t>
      </w:r>
    </w:p>
    <w:p w14:paraId="4BC8404C" w14:textId="77777777" w:rsidR="008810A2" w:rsidRDefault="00D921E0">
      <w:pPr>
        <w:ind w:firstLine="420"/>
        <w:rPr>
          <w:color w:val="000000" w:themeColor="text1"/>
          <w:szCs w:val="21"/>
        </w:rPr>
      </w:pPr>
      <w:bookmarkStart w:id="246" w:name="_Hlk155969951"/>
      <w:r>
        <w:t>2024</w:t>
      </w:r>
      <w:r>
        <w:rPr>
          <w:rFonts w:hint="eastAsia"/>
        </w:rPr>
        <w:t>年上半年，</w:t>
      </w:r>
      <w:r>
        <w:rPr>
          <w:rFonts w:hint="eastAsia"/>
          <w:color w:val="000000"/>
          <w:szCs w:val="22"/>
        </w:rPr>
        <w:t>网络购物市场保持稳健增长，</w:t>
      </w:r>
      <w:r>
        <w:rPr>
          <w:rFonts w:hint="eastAsia"/>
          <w:color w:val="000000"/>
        </w:rPr>
        <w:t>在促消费中日益发挥积极作用。数据显示，上半年全国网上零售额</w:t>
      </w:r>
      <w:r>
        <w:rPr>
          <w:color w:val="000000"/>
        </w:rPr>
        <w:t>70991</w:t>
      </w:r>
      <w:r>
        <w:rPr>
          <w:rFonts w:hint="eastAsia"/>
          <w:color w:val="000000"/>
        </w:rPr>
        <w:t>亿元，同比增长</w:t>
      </w:r>
      <w:r>
        <w:rPr>
          <w:color w:val="000000"/>
        </w:rPr>
        <w:t>9.8%</w:t>
      </w:r>
      <w:r>
        <w:rPr>
          <w:rFonts w:hint="eastAsia"/>
          <w:color w:val="000000"/>
        </w:rPr>
        <w:t>。其中，实物商品网上零售额同比增长</w:t>
      </w:r>
      <w:r>
        <w:rPr>
          <w:color w:val="000000"/>
        </w:rPr>
        <w:t>8.8%</w:t>
      </w:r>
      <w:r>
        <w:rPr>
          <w:rFonts w:hint="eastAsia"/>
          <w:color w:val="000000"/>
        </w:rPr>
        <w:t>，占社会消费品零售总额的比重为</w:t>
      </w:r>
      <w:r>
        <w:rPr>
          <w:color w:val="000000"/>
        </w:rPr>
        <w:t>25.3%</w:t>
      </w:r>
      <w:r>
        <w:rPr>
          <w:rStyle w:val="affe"/>
          <w:color w:val="000000"/>
        </w:rPr>
        <w:footnoteReference w:id="41"/>
      </w:r>
      <w:r>
        <w:rPr>
          <w:rFonts w:hint="eastAsia"/>
          <w:color w:val="000000"/>
        </w:rPr>
        <w:t>，今年以来占</w:t>
      </w:r>
      <w:proofErr w:type="gramStart"/>
      <w:r>
        <w:rPr>
          <w:rFonts w:hint="eastAsia"/>
          <w:color w:val="000000"/>
        </w:rPr>
        <w:t>比持续</w:t>
      </w:r>
      <w:proofErr w:type="gramEnd"/>
      <w:r>
        <w:rPr>
          <w:rFonts w:hint="eastAsia"/>
          <w:color w:val="000000"/>
        </w:rPr>
        <w:t>提升</w:t>
      </w:r>
      <w:r>
        <w:rPr>
          <w:rStyle w:val="affe"/>
          <w:color w:val="000000"/>
        </w:rPr>
        <w:footnoteReference w:id="42"/>
      </w:r>
      <w:r>
        <w:rPr>
          <w:rFonts w:hint="eastAsia"/>
          <w:color w:val="000000"/>
        </w:rPr>
        <w:t>。</w:t>
      </w:r>
    </w:p>
    <w:p w14:paraId="5C57834B" w14:textId="77777777" w:rsidR="008810A2" w:rsidRDefault="00D921E0">
      <w:pPr>
        <w:ind w:firstLine="422"/>
        <w:rPr>
          <w:b/>
          <w:bCs/>
          <w:color w:val="000000" w:themeColor="text1"/>
          <w:szCs w:val="21"/>
        </w:rPr>
      </w:pPr>
      <w:r>
        <w:rPr>
          <w:rFonts w:hint="eastAsia"/>
          <w:b/>
          <w:bCs/>
          <w:color w:val="000000" w:themeColor="text1"/>
          <w:szCs w:val="21"/>
        </w:rPr>
        <w:lastRenderedPageBreak/>
        <w:t>一是平台延续低价和用户优先策略，提升用户体验。</w:t>
      </w:r>
      <w:r>
        <w:rPr>
          <w:rFonts w:hint="eastAsia"/>
          <w:color w:val="000000" w:themeColor="text1"/>
          <w:szCs w:val="21"/>
        </w:rPr>
        <w:t>上半年，各大平台继续打造产品价格优势，如淘宝、京东继续推出“百亿补贴”，</w:t>
      </w:r>
      <w:proofErr w:type="gramStart"/>
      <w:r>
        <w:rPr>
          <w:rFonts w:hint="eastAsia"/>
          <w:color w:val="000000" w:themeColor="text1"/>
          <w:szCs w:val="21"/>
        </w:rPr>
        <w:t>抖音将</w:t>
      </w:r>
      <w:proofErr w:type="gramEnd"/>
      <w:r>
        <w:rPr>
          <w:rFonts w:hint="eastAsia"/>
          <w:color w:val="000000" w:themeColor="text1"/>
          <w:szCs w:val="21"/>
        </w:rPr>
        <w:t>“价格力”作为</w:t>
      </w:r>
      <w:r>
        <w:rPr>
          <w:rFonts w:hint="eastAsia"/>
          <w:color w:val="000000" w:themeColor="text1"/>
          <w:szCs w:val="21"/>
        </w:rPr>
        <w:t>2024</w:t>
      </w:r>
      <w:r>
        <w:rPr>
          <w:rFonts w:hint="eastAsia"/>
          <w:color w:val="000000" w:themeColor="text1"/>
          <w:szCs w:val="21"/>
        </w:rPr>
        <w:t>年优先目标，拼多多推出自动跟</w:t>
      </w:r>
      <w:proofErr w:type="gramStart"/>
      <w:r>
        <w:rPr>
          <w:rFonts w:hint="eastAsia"/>
          <w:color w:val="000000" w:themeColor="text1"/>
          <w:szCs w:val="21"/>
        </w:rPr>
        <w:t>价系统</w:t>
      </w:r>
      <w:proofErr w:type="gramEnd"/>
      <w:r>
        <w:rPr>
          <w:rFonts w:hint="eastAsia"/>
          <w:color w:val="000000" w:themeColor="text1"/>
          <w:szCs w:val="21"/>
        </w:rPr>
        <w:t>和商家降价提升流量规则，电商行业回归低价趋势明显。此外，平台加大用户体验投入，</w:t>
      </w:r>
      <w:proofErr w:type="gramStart"/>
      <w:r>
        <w:rPr>
          <w:rFonts w:hint="eastAsia"/>
          <w:color w:val="000000" w:themeColor="text1"/>
          <w:szCs w:val="21"/>
        </w:rPr>
        <w:t>如抖音</w:t>
      </w:r>
      <w:proofErr w:type="gramEnd"/>
      <w:r>
        <w:rPr>
          <w:rFonts w:hint="eastAsia"/>
          <w:color w:val="000000" w:themeColor="text1"/>
          <w:szCs w:val="21"/>
        </w:rPr>
        <w:t>、淘宝、京东陆续跟进拼</w:t>
      </w:r>
      <w:proofErr w:type="gramStart"/>
      <w:r>
        <w:rPr>
          <w:rFonts w:hint="eastAsia"/>
          <w:color w:val="000000" w:themeColor="text1"/>
          <w:szCs w:val="21"/>
        </w:rPr>
        <w:t>多多出台</w:t>
      </w:r>
      <w:proofErr w:type="gramEnd"/>
      <w:r>
        <w:rPr>
          <w:rFonts w:hint="eastAsia"/>
          <w:color w:val="000000" w:themeColor="text1"/>
          <w:szCs w:val="21"/>
        </w:rPr>
        <w:t>“仅退款”类似政策，并通过强制卖家提供运费险、保价等服务吸引用户，提升用户体验。未来，行业仍有待通过提高流通效率、创新商业模式等方式，实现用户、商家和平台三方共赢。</w:t>
      </w:r>
    </w:p>
    <w:p w14:paraId="2454AC5D" w14:textId="77777777" w:rsidR="008810A2" w:rsidRDefault="00D921E0">
      <w:pPr>
        <w:ind w:firstLine="422"/>
        <w:rPr>
          <w:color w:val="000000" w:themeColor="text1"/>
          <w:szCs w:val="21"/>
        </w:rPr>
      </w:pPr>
      <w:r>
        <w:rPr>
          <w:rFonts w:hint="eastAsia"/>
          <w:b/>
          <w:bCs/>
          <w:color w:val="000000" w:themeColor="text1"/>
          <w:szCs w:val="21"/>
        </w:rPr>
        <w:t>二是</w:t>
      </w:r>
      <w:bookmarkStart w:id="247" w:name="_Hlk172906169"/>
      <w:r>
        <w:rPr>
          <w:rFonts w:hint="eastAsia"/>
          <w:b/>
          <w:bCs/>
          <w:color w:val="000000" w:themeColor="text1"/>
          <w:szCs w:val="21"/>
        </w:rPr>
        <w:t>平台加大促销力度，推动消费品“以旧换新”</w:t>
      </w:r>
      <w:bookmarkEnd w:id="247"/>
      <w:r>
        <w:rPr>
          <w:rFonts w:hint="eastAsia"/>
          <w:b/>
          <w:bCs/>
          <w:color w:val="000000" w:themeColor="text1"/>
          <w:szCs w:val="21"/>
        </w:rPr>
        <w:t>。</w:t>
      </w:r>
      <w:r>
        <w:rPr>
          <w:rFonts w:hint="eastAsia"/>
          <w:color w:val="000000" w:themeColor="text1"/>
          <w:szCs w:val="21"/>
        </w:rPr>
        <w:t>上半年，电商平台积极配合新一轮“以旧换新”政策，通过加大补贴、简化流程、完善物流等方式助力政策落地，促进消费转化和消费升级。数据显示，电商平台支持</w:t>
      </w:r>
      <w:r>
        <w:rPr>
          <w:rFonts w:hint="eastAsia"/>
          <w:color w:val="000000" w:themeColor="text1"/>
          <w:szCs w:val="21"/>
        </w:rPr>
        <w:t>40</w:t>
      </w:r>
      <w:r>
        <w:rPr>
          <w:rFonts w:hint="eastAsia"/>
          <w:color w:val="000000" w:themeColor="text1"/>
          <w:szCs w:val="21"/>
        </w:rPr>
        <w:t>多万种商品以旧换新、</w:t>
      </w:r>
      <w:r>
        <w:rPr>
          <w:rFonts w:hint="eastAsia"/>
          <w:color w:val="000000" w:themeColor="text1"/>
          <w:szCs w:val="21"/>
        </w:rPr>
        <w:t>300</w:t>
      </w:r>
      <w:r>
        <w:rPr>
          <w:rFonts w:hint="eastAsia"/>
          <w:color w:val="000000" w:themeColor="text1"/>
          <w:szCs w:val="21"/>
        </w:rPr>
        <w:t>多个品类同步回收，主要平台冰箱、洗衣机、手机和电视以旧换新增长</w:t>
      </w:r>
      <w:r>
        <w:rPr>
          <w:rFonts w:hint="eastAsia"/>
          <w:color w:val="000000" w:themeColor="text1"/>
          <w:szCs w:val="21"/>
        </w:rPr>
        <w:t>82.1%</w:t>
      </w:r>
      <w:r>
        <w:rPr>
          <w:rFonts w:hint="eastAsia"/>
          <w:color w:val="000000" w:themeColor="text1"/>
          <w:szCs w:val="21"/>
        </w:rPr>
        <w:t>、</w:t>
      </w:r>
      <w:r>
        <w:rPr>
          <w:rFonts w:hint="eastAsia"/>
          <w:color w:val="000000" w:themeColor="text1"/>
          <w:szCs w:val="21"/>
        </w:rPr>
        <w:t>70.4%</w:t>
      </w:r>
      <w:r>
        <w:rPr>
          <w:rFonts w:hint="eastAsia"/>
          <w:color w:val="000000" w:themeColor="text1"/>
          <w:szCs w:val="21"/>
        </w:rPr>
        <w:t>、</w:t>
      </w:r>
      <w:r>
        <w:rPr>
          <w:rFonts w:hint="eastAsia"/>
          <w:color w:val="000000" w:themeColor="text1"/>
          <w:szCs w:val="21"/>
        </w:rPr>
        <w:t>63.9%</w:t>
      </w:r>
      <w:r>
        <w:rPr>
          <w:rFonts w:hint="eastAsia"/>
          <w:color w:val="000000" w:themeColor="text1"/>
          <w:szCs w:val="21"/>
        </w:rPr>
        <w:t>和</w:t>
      </w:r>
      <w:r>
        <w:rPr>
          <w:rFonts w:hint="eastAsia"/>
          <w:color w:val="000000" w:themeColor="text1"/>
          <w:szCs w:val="21"/>
        </w:rPr>
        <w:t>54.3%</w:t>
      </w:r>
      <w:r>
        <w:rPr>
          <w:rStyle w:val="affe"/>
          <w:color w:val="000000" w:themeColor="text1"/>
          <w:szCs w:val="21"/>
        </w:rPr>
        <w:footnoteReference w:id="43"/>
      </w:r>
      <w:r>
        <w:rPr>
          <w:rFonts w:hint="eastAsia"/>
          <w:color w:val="000000" w:themeColor="text1"/>
          <w:szCs w:val="21"/>
        </w:rPr>
        <w:t>。</w:t>
      </w:r>
      <w:bookmarkStart w:id="248" w:name="_Hlk172906158"/>
      <w:r>
        <w:rPr>
          <w:rFonts w:hint="eastAsia"/>
          <w:color w:val="000000" w:themeColor="text1"/>
          <w:szCs w:val="21"/>
        </w:rPr>
        <w:t>近半年参与过消费品“以旧换新”活动的网民中，</w:t>
      </w:r>
      <w:bookmarkStart w:id="249" w:name="_Hlk173422044"/>
      <w:r>
        <w:rPr>
          <w:rFonts w:hint="eastAsia"/>
          <w:color w:val="000000" w:themeColor="text1"/>
          <w:szCs w:val="21"/>
        </w:rPr>
        <w:t>通过线上平台购买</w:t>
      </w:r>
      <w:bookmarkEnd w:id="249"/>
      <w:r>
        <w:rPr>
          <w:rFonts w:hint="eastAsia"/>
          <w:color w:val="000000" w:themeColor="text1"/>
          <w:szCs w:val="21"/>
        </w:rPr>
        <w:t>相关产品的用户比例达</w:t>
      </w:r>
      <w:r>
        <w:rPr>
          <w:rFonts w:hint="eastAsia"/>
          <w:color w:val="000000" w:themeColor="text1"/>
          <w:szCs w:val="21"/>
        </w:rPr>
        <w:t>68.8%</w:t>
      </w:r>
      <w:r>
        <w:rPr>
          <w:rFonts w:hint="eastAsia"/>
          <w:color w:val="000000" w:themeColor="text1"/>
          <w:szCs w:val="21"/>
        </w:rPr>
        <w:t>。其中手机数码产品、洗衣机等传统家电产品“以旧换新”消费比例最高，分别占到参与网民用户的</w:t>
      </w:r>
      <w:r>
        <w:rPr>
          <w:rFonts w:hint="eastAsia"/>
          <w:color w:val="000000" w:themeColor="text1"/>
          <w:szCs w:val="21"/>
        </w:rPr>
        <w:t>28.8%</w:t>
      </w:r>
      <w:r>
        <w:rPr>
          <w:rFonts w:hint="eastAsia"/>
          <w:color w:val="000000" w:themeColor="text1"/>
          <w:szCs w:val="21"/>
        </w:rPr>
        <w:t>和</w:t>
      </w:r>
      <w:r>
        <w:rPr>
          <w:rFonts w:hint="eastAsia"/>
          <w:color w:val="000000" w:themeColor="text1"/>
          <w:szCs w:val="21"/>
        </w:rPr>
        <w:t>23.7%</w:t>
      </w:r>
      <w:bookmarkEnd w:id="246"/>
      <w:bookmarkEnd w:id="248"/>
      <w:r>
        <w:rPr>
          <w:rFonts w:hint="eastAsia"/>
          <w:color w:val="000000" w:themeColor="text1"/>
          <w:szCs w:val="21"/>
        </w:rPr>
        <w:t>。</w:t>
      </w:r>
    </w:p>
    <w:p w14:paraId="5F6536A3" w14:textId="77777777" w:rsidR="008810A2" w:rsidRDefault="00D921E0">
      <w:pPr>
        <w:keepLines/>
        <w:numPr>
          <w:ilvl w:val="0"/>
          <w:numId w:val="12"/>
        </w:numPr>
        <w:topLinePunct/>
        <w:snapToGrid w:val="0"/>
        <w:spacing w:before="320" w:after="200"/>
        <w:ind w:left="0" w:firstLineChars="0" w:firstLine="0"/>
        <w:outlineLvl w:val="2"/>
        <w:rPr>
          <w:rFonts w:eastAsia="楷体_GB2312"/>
          <w:color w:val="000000"/>
          <w:sz w:val="30"/>
          <w:szCs w:val="30"/>
        </w:rPr>
      </w:pPr>
      <w:bookmarkStart w:id="250" w:name="_Toc175065718"/>
      <w:r>
        <w:rPr>
          <w:rFonts w:eastAsia="楷体_GB2312"/>
          <w:color w:val="000000"/>
          <w:sz w:val="30"/>
          <w:szCs w:val="30"/>
        </w:rPr>
        <w:t>网上外卖</w:t>
      </w:r>
      <w:bookmarkEnd w:id="250"/>
    </w:p>
    <w:bookmarkEnd w:id="242"/>
    <w:bookmarkEnd w:id="243"/>
    <w:bookmarkEnd w:id="244"/>
    <w:p w14:paraId="48EDF6A9" w14:textId="77777777" w:rsidR="008810A2" w:rsidRDefault="00D921E0">
      <w:pPr>
        <w:ind w:firstLine="420"/>
        <w:rPr>
          <w:rFonts w:eastAsiaTheme="minorEastAsia"/>
          <w:color w:val="000000" w:themeColor="text1"/>
          <w:szCs w:val="21"/>
        </w:rPr>
      </w:pPr>
      <w:r>
        <w:rPr>
          <w:color w:val="000000" w:themeColor="text1"/>
          <w:lang w:val="zh-CN"/>
        </w:rPr>
        <w:t>截至</w:t>
      </w:r>
      <w:r>
        <w:rPr>
          <w:color w:val="000000" w:themeColor="text1"/>
          <w:lang w:val="zh-CN"/>
        </w:rPr>
        <w:t>2024</w:t>
      </w:r>
      <w:r>
        <w:rPr>
          <w:color w:val="000000" w:themeColor="text1"/>
          <w:lang w:val="zh-CN"/>
        </w:rPr>
        <w:t>年</w:t>
      </w:r>
      <w:r>
        <w:rPr>
          <w:color w:val="000000" w:themeColor="text1"/>
          <w:lang w:val="zh-CN"/>
        </w:rPr>
        <w:t>6</w:t>
      </w:r>
      <w:r>
        <w:rPr>
          <w:color w:val="000000" w:themeColor="text1"/>
          <w:lang w:val="zh-CN"/>
        </w:rPr>
        <w:t>月，我国网</w:t>
      </w:r>
      <w:r>
        <w:rPr>
          <w:color w:val="000000" w:themeColor="text1"/>
        </w:rPr>
        <w:t>上外卖</w:t>
      </w:r>
      <w:r>
        <w:rPr>
          <w:color w:val="000000" w:themeColor="text1"/>
          <w:lang w:val="zh-CN"/>
        </w:rPr>
        <w:t>用户规模达</w:t>
      </w:r>
      <w:r>
        <w:rPr>
          <w:rFonts w:hint="eastAsia"/>
          <w:color w:val="000000" w:themeColor="text1"/>
        </w:rPr>
        <w:t>5.53</w:t>
      </w:r>
      <w:r>
        <w:rPr>
          <w:color w:val="000000" w:themeColor="text1"/>
          <w:lang w:val="zh-CN"/>
        </w:rPr>
        <w:t>亿人，较</w:t>
      </w:r>
      <w:r>
        <w:rPr>
          <w:color w:val="000000" w:themeColor="text1"/>
          <w:lang w:val="zh-CN"/>
        </w:rPr>
        <w:t>2023</w:t>
      </w:r>
      <w:r>
        <w:rPr>
          <w:color w:val="000000" w:themeColor="text1"/>
          <w:lang w:val="zh-CN"/>
        </w:rPr>
        <w:t>年</w:t>
      </w:r>
      <w:r>
        <w:rPr>
          <w:color w:val="000000" w:themeColor="text1"/>
          <w:lang w:val="zh-CN"/>
        </w:rPr>
        <w:t>12</w:t>
      </w:r>
      <w:r>
        <w:rPr>
          <w:color w:val="000000" w:themeColor="text1"/>
          <w:lang w:val="zh-CN"/>
        </w:rPr>
        <w:t>月增长</w:t>
      </w:r>
      <w:r>
        <w:rPr>
          <w:rFonts w:hint="eastAsia"/>
          <w:color w:val="000000" w:themeColor="text1"/>
        </w:rPr>
        <w:t>850</w:t>
      </w:r>
      <w:r>
        <w:rPr>
          <w:color w:val="000000" w:themeColor="text1"/>
          <w:lang w:val="zh-CN"/>
        </w:rPr>
        <w:t>万人，占网民整体的</w:t>
      </w:r>
      <w:r>
        <w:rPr>
          <w:rFonts w:hint="eastAsia"/>
          <w:color w:val="000000" w:themeColor="text1"/>
        </w:rPr>
        <w:t>50.3</w:t>
      </w:r>
      <w:r>
        <w:rPr>
          <w:color w:val="000000" w:themeColor="text1"/>
          <w:lang w:val="zh-CN"/>
        </w:rPr>
        <w:t>%</w:t>
      </w:r>
      <w:r>
        <w:rPr>
          <w:color w:val="000000" w:themeColor="text1"/>
          <w:lang w:val="zh-CN"/>
        </w:rPr>
        <w:t>。</w:t>
      </w:r>
    </w:p>
    <w:p w14:paraId="6C1C9D5D" w14:textId="77777777" w:rsidR="008810A2" w:rsidRDefault="00D921E0">
      <w:pPr>
        <w:pStyle w:val="afff4"/>
        <w:spacing w:before="156" w:line="360" w:lineRule="auto"/>
        <w:rPr>
          <w:rFonts w:ascii="Times New Roman" w:hAnsi="Times New Roman"/>
          <w:color w:val="000000" w:themeColor="text1"/>
        </w:rPr>
      </w:pPr>
      <w:r>
        <w:rPr>
          <w:rFonts w:ascii="Times New Roman" w:hAnsi="Times New Roman"/>
          <w:noProof/>
        </w:rPr>
        <w:lastRenderedPageBreak/>
        <w:drawing>
          <wp:inline distT="0" distB="0" distL="0" distR="0" wp14:anchorId="44F5F769" wp14:editId="2B216032">
            <wp:extent cx="4895850" cy="2876550"/>
            <wp:effectExtent l="4445" t="4445" r="6985" b="14605"/>
            <wp:docPr id="523898795" name="图表 523898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CDEF2D" w14:textId="4C6664A6" w:rsidR="008810A2" w:rsidRDefault="00D921E0" w:rsidP="002B0D05">
      <w:pPr>
        <w:pStyle w:val="a4"/>
        <w:rPr>
          <w:color w:val="auto"/>
        </w:rPr>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28</w:t>
      </w:r>
      <w:r>
        <w:fldChar w:fldCharType="end"/>
      </w:r>
      <w:r>
        <w:rPr>
          <w:color w:val="auto"/>
        </w:rPr>
        <w:t xml:space="preserve">  2022.6-2024.6</w:t>
      </w:r>
      <w:r>
        <w:t>网上外卖用户规模及使用率</w:t>
      </w:r>
    </w:p>
    <w:p w14:paraId="175D4487" w14:textId="77777777" w:rsidR="008810A2" w:rsidRDefault="00D921E0">
      <w:pPr>
        <w:ind w:firstLine="420"/>
        <w:rPr>
          <w:szCs w:val="21"/>
        </w:rPr>
      </w:pPr>
      <w:r>
        <w:rPr>
          <w:rFonts w:hint="eastAsia"/>
          <w:szCs w:val="21"/>
        </w:rPr>
        <w:t>2</w:t>
      </w:r>
      <w:r>
        <w:rPr>
          <w:szCs w:val="21"/>
        </w:rPr>
        <w:t>024</w:t>
      </w:r>
      <w:r>
        <w:rPr>
          <w:rFonts w:hint="eastAsia"/>
          <w:szCs w:val="21"/>
        </w:rPr>
        <w:t>年上半年</w:t>
      </w:r>
      <w:r>
        <w:rPr>
          <w:szCs w:val="21"/>
        </w:rPr>
        <w:t>，</w:t>
      </w:r>
      <w:r>
        <w:rPr>
          <w:rFonts w:hint="eastAsia"/>
          <w:szCs w:val="21"/>
        </w:rPr>
        <w:t>网上外卖市场蓬勃发展，相关企业营</w:t>
      </w:r>
      <w:proofErr w:type="gramStart"/>
      <w:r>
        <w:rPr>
          <w:rFonts w:hint="eastAsia"/>
          <w:szCs w:val="21"/>
        </w:rPr>
        <w:t>收显著</w:t>
      </w:r>
      <w:proofErr w:type="gramEnd"/>
      <w:r>
        <w:rPr>
          <w:rFonts w:hint="eastAsia"/>
          <w:szCs w:val="21"/>
        </w:rPr>
        <w:t>增长；同时，即时配送等服务模式加快发展，新兴技术持续为行业赋能。</w:t>
      </w:r>
    </w:p>
    <w:p w14:paraId="701AA4D7" w14:textId="77777777" w:rsidR="008810A2" w:rsidRDefault="00D921E0">
      <w:pPr>
        <w:numPr>
          <w:ilvl w:val="255"/>
          <w:numId w:val="0"/>
        </w:numPr>
        <w:topLinePunct/>
        <w:adjustRightInd w:val="0"/>
        <w:ind w:firstLineChars="200" w:firstLine="422"/>
        <w:rPr>
          <w:bCs/>
          <w:szCs w:val="21"/>
        </w:rPr>
      </w:pPr>
      <w:r>
        <w:rPr>
          <w:rFonts w:hint="eastAsia"/>
          <w:b/>
          <w:szCs w:val="21"/>
        </w:rPr>
        <w:t>一是外卖市场活力持续释放，业务营收增势明显。</w:t>
      </w:r>
      <w:r>
        <w:rPr>
          <w:rFonts w:hint="eastAsia"/>
          <w:bCs/>
          <w:szCs w:val="21"/>
        </w:rPr>
        <w:t>上半年，美团、饿</w:t>
      </w:r>
      <w:proofErr w:type="gramStart"/>
      <w:r>
        <w:rPr>
          <w:rFonts w:hint="eastAsia"/>
          <w:bCs/>
          <w:szCs w:val="21"/>
        </w:rPr>
        <w:t>了么等主要</w:t>
      </w:r>
      <w:proofErr w:type="gramEnd"/>
      <w:r>
        <w:rPr>
          <w:rFonts w:hint="eastAsia"/>
          <w:bCs/>
          <w:szCs w:val="21"/>
        </w:rPr>
        <w:t>平台通过持续创新消费体验、增加优质供给等，实现用户交易和购买频次持续提升，带动业务营</w:t>
      </w:r>
      <w:proofErr w:type="gramStart"/>
      <w:r>
        <w:rPr>
          <w:rFonts w:hint="eastAsia"/>
          <w:bCs/>
          <w:szCs w:val="21"/>
        </w:rPr>
        <w:t>收明显</w:t>
      </w:r>
      <w:proofErr w:type="gramEnd"/>
      <w:r>
        <w:rPr>
          <w:rFonts w:hint="eastAsia"/>
          <w:bCs/>
          <w:szCs w:val="21"/>
        </w:rPr>
        <w:t>增长。数据显示，</w:t>
      </w:r>
      <w:proofErr w:type="gramStart"/>
      <w:r>
        <w:rPr>
          <w:rFonts w:hint="eastAsia"/>
          <w:szCs w:val="21"/>
        </w:rPr>
        <w:t>美团一季度</w:t>
      </w:r>
      <w:proofErr w:type="gramEnd"/>
      <w:r>
        <w:rPr>
          <w:rFonts w:hint="eastAsia"/>
          <w:szCs w:val="21"/>
        </w:rPr>
        <w:t>配送服务营收</w:t>
      </w:r>
      <w:r>
        <w:rPr>
          <w:rStyle w:val="affe"/>
          <w:bCs/>
          <w:szCs w:val="21"/>
        </w:rPr>
        <w:footnoteReference w:id="44"/>
      </w:r>
      <w:r>
        <w:rPr>
          <w:rFonts w:hint="eastAsia"/>
          <w:bCs/>
          <w:szCs w:val="21"/>
        </w:rPr>
        <w:t>同比增长</w:t>
      </w:r>
      <w:r>
        <w:rPr>
          <w:bCs/>
          <w:szCs w:val="21"/>
        </w:rPr>
        <w:t>24.6%</w:t>
      </w:r>
      <w:r>
        <w:rPr>
          <w:rStyle w:val="affe"/>
          <w:bCs/>
          <w:szCs w:val="21"/>
        </w:rPr>
        <w:footnoteReference w:id="45"/>
      </w:r>
      <w:r>
        <w:rPr>
          <w:rFonts w:hint="eastAsia"/>
          <w:bCs/>
          <w:szCs w:val="21"/>
        </w:rPr>
        <w:t>；阿里巴巴一季度本地生活集团收入同比增长</w:t>
      </w:r>
      <w:r>
        <w:rPr>
          <w:rFonts w:hint="eastAsia"/>
          <w:bCs/>
          <w:szCs w:val="21"/>
        </w:rPr>
        <w:t>1</w:t>
      </w:r>
      <w:r>
        <w:rPr>
          <w:bCs/>
          <w:szCs w:val="21"/>
        </w:rPr>
        <w:t>9</w:t>
      </w:r>
      <w:r>
        <w:rPr>
          <w:rFonts w:hint="eastAsia"/>
          <w:bCs/>
          <w:szCs w:val="21"/>
        </w:rPr>
        <w:t>%</w:t>
      </w:r>
      <w:r>
        <w:rPr>
          <w:rFonts w:hint="eastAsia"/>
          <w:bCs/>
          <w:szCs w:val="21"/>
        </w:rPr>
        <w:t>，其中饿了么订单增长强劲</w:t>
      </w:r>
      <w:r>
        <w:rPr>
          <w:rStyle w:val="affe"/>
          <w:bCs/>
          <w:szCs w:val="21"/>
        </w:rPr>
        <w:footnoteReference w:id="46"/>
      </w:r>
      <w:r>
        <w:rPr>
          <w:rFonts w:hint="eastAsia"/>
          <w:bCs/>
          <w:szCs w:val="21"/>
        </w:rPr>
        <w:t>。</w:t>
      </w:r>
    </w:p>
    <w:p w14:paraId="4932B5FB" w14:textId="77777777" w:rsidR="008810A2" w:rsidRDefault="00D921E0">
      <w:pPr>
        <w:numPr>
          <w:ilvl w:val="255"/>
          <w:numId w:val="0"/>
        </w:numPr>
        <w:topLinePunct/>
        <w:adjustRightInd w:val="0"/>
        <w:ind w:firstLineChars="200" w:firstLine="422"/>
        <w:rPr>
          <w:bCs/>
          <w:szCs w:val="21"/>
        </w:rPr>
      </w:pPr>
      <w:r>
        <w:rPr>
          <w:rFonts w:hint="eastAsia"/>
          <w:b/>
          <w:szCs w:val="21"/>
        </w:rPr>
        <w:t>二是即时配送驶入快车道，技术创新赋能行业发展。</w:t>
      </w:r>
      <w:r>
        <w:rPr>
          <w:rFonts w:hint="eastAsia"/>
          <w:bCs/>
          <w:szCs w:val="21"/>
        </w:rPr>
        <w:t>随着市场需求变化和技术进步，外卖平台不断扩展其服务范围，从传统的餐饮外卖延伸至生鲜、药品、日用品等即时配送，实现全方位的生活服务覆盖。数据显示，</w:t>
      </w:r>
      <w:proofErr w:type="gramStart"/>
      <w:r>
        <w:rPr>
          <w:rFonts w:hint="eastAsia"/>
          <w:bCs/>
          <w:szCs w:val="21"/>
        </w:rPr>
        <w:t>一季度美团即时</w:t>
      </w:r>
      <w:proofErr w:type="gramEnd"/>
      <w:r>
        <w:rPr>
          <w:rFonts w:hint="eastAsia"/>
          <w:bCs/>
          <w:szCs w:val="21"/>
        </w:rPr>
        <w:t>配送订单量达</w:t>
      </w:r>
      <w:r>
        <w:rPr>
          <w:rFonts w:hint="eastAsia"/>
          <w:bCs/>
          <w:szCs w:val="21"/>
        </w:rPr>
        <w:t>54.6</w:t>
      </w:r>
      <w:r>
        <w:rPr>
          <w:rFonts w:hint="eastAsia"/>
          <w:bCs/>
          <w:szCs w:val="21"/>
        </w:rPr>
        <w:t>亿单，同比增长</w:t>
      </w:r>
      <w:r>
        <w:rPr>
          <w:rFonts w:hint="eastAsia"/>
          <w:bCs/>
          <w:szCs w:val="21"/>
        </w:rPr>
        <w:t>28.1%</w:t>
      </w:r>
      <w:r>
        <w:rPr>
          <w:rStyle w:val="affe"/>
          <w:rFonts w:hint="eastAsia"/>
          <w:bCs/>
          <w:szCs w:val="21"/>
        </w:rPr>
        <w:footnoteReference w:id="47"/>
      </w:r>
      <w:r>
        <w:rPr>
          <w:rFonts w:hint="eastAsia"/>
          <w:bCs/>
          <w:szCs w:val="21"/>
        </w:rPr>
        <w:t>。同时，依托技术创新，外卖平台不断提升智能化水平，赋能行业创新发展。例如，饿了</w:t>
      </w:r>
      <w:proofErr w:type="gramStart"/>
      <w:r>
        <w:rPr>
          <w:rFonts w:hint="eastAsia"/>
          <w:bCs/>
          <w:szCs w:val="21"/>
        </w:rPr>
        <w:t>么通过</w:t>
      </w:r>
      <w:proofErr w:type="gramEnd"/>
      <w:r>
        <w:rPr>
          <w:rFonts w:hint="eastAsia"/>
          <w:bCs/>
          <w:szCs w:val="21"/>
        </w:rPr>
        <w:t>AI</w:t>
      </w:r>
      <w:r>
        <w:rPr>
          <w:rFonts w:hint="eastAsia"/>
          <w:bCs/>
          <w:szCs w:val="21"/>
        </w:rPr>
        <w:t>技术实现了个性化推荐和智能调度等功能，美团外卖利用大数据提供更加个性化的服务体验等。</w:t>
      </w:r>
    </w:p>
    <w:p w14:paraId="397C2AFC" w14:textId="77777777" w:rsidR="008810A2" w:rsidRDefault="00D921E0">
      <w:pPr>
        <w:ind w:firstLine="420"/>
      </w:pPr>
      <w:r>
        <w:br w:type="page"/>
      </w:r>
    </w:p>
    <w:p w14:paraId="6B89E65A" w14:textId="77777777" w:rsidR="008810A2" w:rsidRDefault="00D921E0">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251" w:name="_Toc175065719"/>
      <w:r>
        <w:rPr>
          <w:rFonts w:eastAsia="楷体_GB2312"/>
          <w:color w:val="000000" w:themeColor="text1"/>
          <w:sz w:val="30"/>
          <w:szCs w:val="30"/>
        </w:rPr>
        <w:lastRenderedPageBreak/>
        <w:t>在线旅行预订</w:t>
      </w:r>
      <w:bookmarkEnd w:id="245"/>
      <w:bookmarkEnd w:id="251"/>
    </w:p>
    <w:p w14:paraId="2456FE9D" w14:textId="77777777" w:rsidR="008810A2" w:rsidRDefault="00D921E0">
      <w:pPr>
        <w:ind w:firstLine="420"/>
      </w:pPr>
      <w:bookmarkStart w:id="252" w:name="_Hlk126743598"/>
      <w:bookmarkStart w:id="253" w:name="_Toc78288098"/>
      <w:r>
        <w:t>截至</w:t>
      </w:r>
      <w:r>
        <w:t>2024</w:t>
      </w:r>
      <w:r>
        <w:t>年</w:t>
      </w:r>
      <w:r>
        <w:t>6</w:t>
      </w:r>
      <w:r>
        <w:t>月，我国在线旅行预订用户规模达</w:t>
      </w:r>
      <w:r>
        <w:rPr>
          <w:rFonts w:hint="eastAsia"/>
        </w:rPr>
        <w:t>4.97</w:t>
      </w:r>
      <w:r>
        <w:t>亿人，占网民整体的</w:t>
      </w:r>
      <w:r>
        <w:rPr>
          <w:rFonts w:hint="eastAsia"/>
        </w:rPr>
        <w:t>45.2</w:t>
      </w:r>
      <w:r>
        <w:t>%</w:t>
      </w:r>
      <w:r>
        <w:t>。</w:t>
      </w:r>
    </w:p>
    <w:bookmarkEnd w:id="252"/>
    <w:p w14:paraId="38728083" w14:textId="77777777" w:rsidR="008810A2" w:rsidRDefault="00D921E0">
      <w:pPr>
        <w:keepNext/>
        <w:widowControl/>
        <w:spacing w:beforeLines="50" w:before="156"/>
        <w:ind w:firstLineChars="0" w:firstLine="0"/>
        <w:jc w:val="center"/>
        <w:rPr>
          <w:rFonts w:eastAsia="仿宋"/>
          <w:sz w:val="24"/>
          <w:szCs w:val="20"/>
        </w:rPr>
      </w:pPr>
      <w:r>
        <w:rPr>
          <w:rFonts w:eastAsia="仿宋"/>
          <w:noProof/>
          <w:sz w:val="24"/>
          <w:szCs w:val="20"/>
        </w:rPr>
        <w:drawing>
          <wp:inline distT="0" distB="0" distL="0" distR="0" wp14:anchorId="3A742AF7" wp14:editId="15A1268A">
            <wp:extent cx="4895850" cy="2876550"/>
            <wp:effectExtent l="4445" t="4445" r="6985" b="14605"/>
            <wp:docPr id="1216014367" name="图表 1216014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BB8F344" w14:textId="64BD774C"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29</w:t>
      </w:r>
      <w:r>
        <w:fldChar w:fldCharType="end"/>
      </w:r>
      <w:r>
        <w:t xml:space="preserve">  2022.6-2024.6</w:t>
      </w:r>
      <w:r>
        <w:t>在线旅行预订用户规模及使用率</w:t>
      </w:r>
    </w:p>
    <w:p w14:paraId="21592ABB" w14:textId="77777777" w:rsidR="008810A2" w:rsidRDefault="00D921E0">
      <w:pPr>
        <w:ind w:firstLine="420"/>
        <w:rPr>
          <w:color w:val="000000"/>
        </w:rPr>
      </w:pPr>
      <w:r>
        <w:rPr>
          <w:rFonts w:hint="eastAsia"/>
          <w:color w:val="000000"/>
        </w:rPr>
        <w:t>2</w:t>
      </w:r>
      <w:r>
        <w:rPr>
          <w:color w:val="000000"/>
        </w:rPr>
        <w:t>024</w:t>
      </w:r>
      <w:r>
        <w:rPr>
          <w:rFonts w:hint="eastAsia"/>
          <w:color w:val="000000"/>
        </w:rPr>
        <w:t>年上半年</w:t>
      </w:r>
      <w:r>
        <w:rPr>
          <w:color w:val="000000"/>
        </w:rPr>
        <w:t>，我国</w:t>
      </w:r>
      <w:r>
        <w:rPr>
          <w:rFonts w:hint="eastAsia"/>
          <w:color w:val="000000"/>
        </w:rPr>
        <w:t>在线旅行预订市场持续升温，平台业绩显著增长；同时，新兴平台的加入和国际市场的拓展，进一步激发了行业创新活力。</w:t>
      </w:r>
    </w:p>
    <w:p w14:paraId="74C91628" w14:textId="77777777" w:rsidR="008810A2" w:rsidRDefault="00D921E0">
      <w:pPr>
        <w:ind w:firstLine="422"/>
        <w:rPr>
          <w:color w:val="000000"/>
        </w:rPr>
      </w:pPr>
      <w:r>
        <w:rPr>
          <w:rFonts w:hint="eastAsia"/>
          <w:b/>
          <w:bCs/>
          <w:color w:val="000000"/>
        </w:rPr>
        <w:t>一是旅行预订市场规模稳步扩大，平台业绩增长明显。</w:t>
      </w:r>
      <w:r>
        <w:rPr>
          <w:rFonts w:hint="eastAsia"/>
          <w:color w:val="000000"/>
        </w:rPr>
        <w:t>伴随旅游消费需求有效释放，</w:t>
      </w:r>
      <w:r>
        <w:rPr>
          <w:color w:val="000000"/>
        </w:rPr>
        <w:t>2024</w:t>
      </w:r>
      <w:r>
        <w:rPr>
          <w:rFonts w:hint="eastAsia"/>
          <w:color w:val="000000"/>
        </w:rPr>
        <w:t>年“五一”和端午节假期期间，全国国内旅游出游人次分别同比增长</w:t>
      </w:r>
      <w:r>
        <w:rPr>
          <w:rFonts w:hint="eastAsia"/>
          <w:color w:val="000000"/>
        </w:rPr>
        <w:t>7</w:t>
      </w:r>
      <w:r>
        <w:rPr>
          <w:color w:val="000000"/>
        </w:rPr>
        <w:t>.6</w:t>
      </w:r>
      <w:r>
        <w:rPr>
          <w:rFonts w:hint="eastAsia"/>
          <w:color w:val="000000"/>
        </w:rPr>
        <w:t>%</w:t>
      </w:r>
      <w:r>
        <w:rPr>
          <w:rFonts w:hint="eastAsia"/>
          <w:color w:val="000000"/>
        </w:rPr>
        <w:t>和</w:t>
      </w:r>
      <w:r>
        <w:rPr>
          <w:rFonts w:hint="eastAsia"/>
          <w:color w:val="000000"/>
        </w:rPr>
        <w:t>6</w:t>
      </w:r>
      <w:r>
        <w:rPr>
          <w:color w:val="000000"/>
        </w:rPr>
        <w:t>.3</w:t>
      </w:r>
      <w:r>
        <w:rPr>
          <w:rFonts w:hint="eastAsia"/>
          <w:color w:val="000000"/>
        </w:rPr>
        <w:t>%</w:t>
      </w:r>
      <w:r>
        <w:rPr>
          <w:rFonts w:hint="eastAsia"/>
          <w:color w:val="000000"/>
        </w:rPr>
        <w:t>，国内游客出游总花费分别同比增长</w:t>
      </w:r>
      <w:r>
        <w:rPr>
          <w:rFonts w:hint="eastAsia"/>
          <w:color w:val="000000"/>
        </w:rPr>
        <w:t>1</w:t>
      </w:r>
      <w:r>
        <w:rPr>
          <w:color w:val="000000"/>
        </w:rPr>
        <w:t>2.7%</w:t>
      </w:r>
      <w:r>
        <w:rPr>
          <w:rFonts w:hint="eastAsia"/>
          <w:color w:val="000000"/>
        </w:rPr>
        <w:t>和</w:t>
      </w:r>
      <w:r>
        <w:rPr>
          <w:rFonts w:hint="eastAsia"/>
          <w:color w:val="000000"/>
        </w:rPr>
        <w:t>8</w:t>
      </w:r>
      <w:r>
        <w:rPr>
          <w:color w:val="000000"/>
        </w:rPr>
        <w:t>.1</w:t>
      </w:r>
      <w:r>
        <w:rPr>
          <w:rFonts w:hint="eastAsia"/>
          <w:color w:val="000000"/>
        </w:rPr>
        <w:t>%</w:t>
      </w:r>
      <w:r>
        <w:rPr>
          <w:rStyle w:val="affe"/>
          <w:color w:val="000000"/>
        </w:rPr>
        <w:footnoteReference w:id="48"/>
      </w:r>
      <w:r>
        <w:rPr>
          <w:rFonts w:hint="eastAsia"/>
          <w:color w:val="000000"/>
        </w:rPr>
        <w:t>。在此背景下，企业用户规模与经营业绩实现大幅增长。数据显示，一季度末同程旅行年服务人次同比增长</w:t>
      </w:r>
      <w:r>
        <w:rPr>
          <w:rFonts w:hint="eastAsia"/>
          <w:color w:val="000000"/>
        </w:rPr>
        <w:t>57.4%</w:t>
      </w:r>
      <w:r>
        <w:rPr>
          <w:rFonts w:hint="eastAsia"/>
          <w:color w:val="000000"/>
        </w:rPr>
        <w:t>，年付费用户同比增长</w:t>
      </w:r>
      <w:r>
        <w:rPr>
          <w:rFonts w:hint="eastAsia"/>
          <w:color w:val="000000"/>
        </w:rPr>
        <w:t>1</w:t>
      </w:r>
      <w:r>
        <w:rPr>
          <w:color w:val="000000"/>
        </w:rPr>
        <w:t>4.3</w:t>
      </w:r>
      <w:r>
        <w:rPr>
          <w:rFonts w:hint="eastAsia"/>
          <w:color w:val="000000"/>
        </w:rPr>
        <w:t>%</w:t>
      </w:r>
      <w:r>
        <w:rPr>
          <w:rStyle w:val="affe"/>
          <w:color w:val="000000"/>
        </w:rPr>
        <w:footnoteReference w:id="49"/>
      </w:r>
      <w:r>
        <w:rPr>
          <w:rFonts w:hint="eastAsia"/>
          <w:color w:val="000000"/>
        </w:rPr>
        <w:t>；一季度</w:t>
      </w:r>
      <w:proofErr w:type="gramStart"/>
      <w:r>
        <w:rPr>
          <w:rFonts w:hint="eastAsia"/>
          <w:color w:val="000000"/>
        </w:rPr>
        <w:t>携程集团</w:t>
      </w:r>
      <w:proofErr w:type="gramEnd"/>
      <w:r>
        <w:rPr>
          <w:rFonts w:hint="eastAsia"/>
          <w:color w:val="000000"/>
        </w:rPr>
        <w:t>净营业收入同比增长</w:t>
      </w:r>
      <w:r>
        <w:rPr>
          <w:rFonts w:hint="eastAsia"/>
          <w:color w:val="000000"/>
        </w:rPr>
        <w:t>29%</w:t>
      </w:r>
      <w:r>
        <w:rPr>
          <w:rFonts w:hint="eastAsia"/>
          <w:color w:val="000000"/>
        </w:rPr>
        <w:t>，其中住宿预订、交通票</w:t>
      </w:r>
      <w:proofErr w:type="gramStart"/>
      <w:r>
        <w:rPr>
          <w:rFonts w:hint="eastAsia"/>
          <w:color w:val="000000"/>
        </w:rPr>
        <w:t>务</w:t>
      </w:r>
      <w:proofErr w:type="gramEnd"/>
      <w:r>
        <w:rPr>
          <w:rFonts w:hint="eastAsia"/>
          <w:color w:val="000000"/>
        </w:rPr>
        <w:t>、旅游度假营业收入分别增长</w:t>
      </w:r>
      <w:r>
        <w:rPr>
          <w:rFonts w:hint="eastAsia"/>
          <w:color w:val="000000"/>
        </w:rPr>
        <w:t>29%</w:t>
      </w:r>
      <w:r>
        <w:rPr>
          <w:rFonts w:hint="eastAsia"/>
          <w:color w:val="000000"/>
        </w:rPr>
        <w:t>、</w:t>
      </w:r>
      <w:r>
        <w:rPr>
          <w:rFonts w:hint="eastAsia"/>
          <w:color w:val="000000"/>
        </w:rPr>
        <w:t>20%</w:t>
      </w:r>
      <w:r>
        <w:rPr>
          <w:rFonts w:hint="eastAsia"/>
          <w:color w:val="000000"/>
        </w:rPr>
        <w:t>和</w:t>
      </w:r>
      <w:r>
        <w:rPr>
          <w:rFonts w:hint="eastAsia"/>
          <w:color w:val="000000"/>
        </w:rPr>
        <w:t>129%</w:t>
      </w:r>
      <w:r>
        <w:rPr>
          <w:rStyle w:val="affe"/>
          <w:color w:val="000000"/>
        </w:rPr>
        <w:footnoteReference w:id="50"/>
      </w:r>
      <w:r>
        <w:rPr>
          <w:color w:val="000000"/>
        </w:rPr>
        <w:t>。</w:t>
      </w:r>
    </w:p>
    <w:p w14:paraId="6163EEA5" w14:textId="77777777" w:rsidR="008810A2" w:rsidRDefault="00D921E0">
      <w:pPr>
        <w:ind w:firstLine="422"/>
        <w:rPr>
          <w:bCs/>
          <w:color w:val="000000"/>
        </w:rPr>
      </w:pPr>
      <w:r>
        <w:rPr>
          <w:rFonts w:hint="eastAsia"/>
          <w:b/>
          <w:bCs/>
          <w:color w:val="000000"/>
        </w:rPr>
        <w:t>二是随着新兴平台的加入、国际市场的拓展等，市场活力持续释放。</w:t>
      </w:r>
      <w:r>
        <w:rPr>
          <w:rFonts w:hint="eastAsia"/>
          <w:color w:val="000000"/>
        </w:rPr>
        <w:t>一方面，如小红书、</w:t>
      </w:r>
      <w:proofErr w:type="gramStart"/>
      <w:r>
        <w:rPr>
          <w:rFonts w:hint="eastAsia"/>
          <w:color w:val="000000"/>
        </w:rPr>
        <w:t>抖音等</w:t>
      </w:r>
      <w:proofErr w:type="gramEnd"/>
      <w:r>
        <w:rPr>
          <w:rFonts w:hint="eastAsia"/>
          <w:color w:val="000000"/>
        </w:rPr>
        <w:t>新兴平台通过内容营销直接链接到旅行产品和服务销售，成为旅行信息分享和预订的新渠道，进一步激发了行业创新活力；另一方面，</w:t>
      </w:r>
      <w:proofErr w:type="gramStart"/>
      <w:r>
        <w:rPr>
          <w:rFonts w:hint="eastAsia"/>
          <w:color w:val="000000"/>
        </w:rPr>
        <w:t>如携程</w:t>
      </w:r>
      <w:proofErr w:type="gramEnd"/>
      <w:r>
        <w:rPr>
          <w:rFonts w:hint="eastAsia"/>
          <w:color w:val="000000"/>
        </w:rPr>
        <w:t>集团、同程旅行等企业拓展</w:t>
      </w:r>
      <w:r>
        <w:rPr>
          <w:rFonts w:hint="eastAsia"/>
          <w:color w:val="000000"/>
        </w:rPr>
        <w:lastRenderedPageBreak/>
        <w:t>国际市场成效显著，助力行业健康持续发展。例如，一季度</w:t>
      </w:r>
      <w:proofErr w:type="gramStart"/>
      <w:r>
        <w:rPr>
          <w:rFonts w:hint="eastAsia"/>
          <w:color w:val="000000"/>
        </w:rPr>
        <w:t>携程集团</w:t>
      </w:r>
      <w:proofErr w:type="gramEnd"/>
      <w:r>
        <w:rPr>
          <w:rFonts w:hint="eastAsia"/>
          <w:color w:val="000000"/>
        </w:rPr>
        <w:t>出境酒店和机票预订同比均增长</w:t>
      </w:r>
      <w:r>
        <w:rPr>
          <w:rFonts w:hint="eastAsia"/>
          <w:color w:val="000000"/>
        </w:rPr>
        <w:t>100%</w:t>
      </w:r>
      <w:r>
        <w:rPr>
          <w:rFonts w:hint="eastAsia"/>
          <w:color w:val="000000"/>
        </w:rPr>
        <w:t>以上，国际平台</w:t>
      </w:r>
      <w:r>
        <w:rPr>
          <w:rFonts w:hint="eastAsia"/>
          <w:color w:val="000000"/>
        </w:rPr>
        <w:t>Trip.com</w:t>
      </w:r>
      <w:r>
        <w:rPr>
          <w:rFonts w:hint="eastAsia"/>
          <w:color w:val="000000"/>
        </w:rPr>
        <w:t>的总收入同比增长约</w:t>
      </w:r>
      <w:r>
        <w:rPr>
          <w:rFonts w:hint="eastAsia"/>
          <w:color w:val="000000"/>
        </w:rPr>
        <w:t>80%</w:t>
      </w:r>
      <w:r>
        <w:rPr>
          <w:rStyle w:val="affe"/>
          <w:rFonts w:hint="eastAsia"/>
          <w:color w:val="000000"/>
        </w:rPr>
        <w:footnoteReference w:id="51"/>
      </w:r>
      <w:r>
        <w:rPr>
          <w:rFonts w:hint="eastAsia"/>
          <w:color w:val="000000"/>
        </w:rPr>
        <w:t>；同程旅行的国际机票量、国际酒店</w:t>
      </w:r>
      <w:proofErr w:type="gramStart"/>
      <w:r>
        <w:rPr>
          <w:rFonts w:hint="eastAsia"/>
          <w:color w:val="000000"/>
        </w:rPr>
        <w:t>间夜量</w:t>
      </w:r>
      <w:proofErr w:type="gramEnd"/>
      <w:r>
        <w:rPr>
          <w:rFonts w:hint="eastAsia"/>
          <w:color w:val="000000"/>
        </w:rPr>
        <w:t>分别同比增长超</w:t>
      </w:r>
      <w:r>
        <w:rPr>
          <w:rFonts w:hint="eastAsia"/>
          <w:color w:val="000000"/>
        </w:rPr>
        <w:t>260%</w:t>
      </w:r>
      <w:r>
        <w:rPr>
          <w:rFonts w:hint="eastAsia"/>
          <w:color w:val="000000"/>
        </w:rPr>
        <w:t>、</w:t>
      </w:r>
      <w:r>
        <w:rPr>
          <w:rFonts w:hint="eastAsia"/>
          <w:color w:val="000000"/>
        </w:rPr>
        <w:t>150%</w:t>
      </w:r>
      <w:r>
        <w:rPr>
          <w:rStyle w:val="affe"/>
          <w:rFonts w:hint="eastAsia"/>
          <w:color w:val="000000"/>
        </w:rPr>
        <w:footnoteReference w:id="52"/>
      </w:r>
      <w:r>
        <w:rPr>
          <w:rFonts w:hint="eastAsia"/>
          <w:color w:val="000000"/>
        </w:rPr>
        <w:t>。</w:t>
      </w:r>
    </w:p>
    <w:p w14:paraId="51C7225B" w14:textId="77777777" w:rsidR="008810A2" w:rsidRDefault="00D921E0">
      <w:pPr>
        <w:pStyle w:val="2"/>
        <w:numPr>
          <w:ilvl w:val="0"/>
          <w:numId w:val="10"/>
        </w:numPr>
        <w:spacing w:before="400" w:after="300" w:line="312" w:lineRule="auto"/>
        <w:ind w:left="0" w:firstLine="0"/>
        <w:rPr>
          <w:rFonts w:eastAsia="黑体"/>
          <w:color w:val="000000" w:themeColor="text1"/>
          <w:sz w:val="36"/>
          <w:szCs w:val="36"/>
        </w:rPr>
      </w:pPr>
      <w:bookmarkStart w:id="254" w:name="_Toc175065720"/>
      <w:r>
        <w:rPr>
          <w:rFonts w:eastAsia="黑体"/>
          <w:color w:val="000000" w:themeColor="text1"/>
          <w:sz w:val="36"/>
          <w:szCs w:val="36"/>
        </w:rPr>
        <w:t>网络娱乐类应用</w:t>
      </w:r>
      <w:bookmarkEnd w:id="253"/>
      <w:bookmarkEnd w:id="254"/>
    </w:p>
    <w:p w14:paraId="5F7DE4E8" w14:textId="77777777" w:rsidR="008810A2" w:rsidRDefault="00D921E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255" w:name="_Toc175065721"/>
      <w:bookmarkStart w:id="256" w:name="_Toc78288099"/>
      <w:bookmarkStart w:id="257" w:name="_Toc95747621"/>
      <w:r>
        <w:rPr>
          <w:rFonts w:eastAsia="楷体_GB2312"/>
          <w:color w:val="000000" w:themeColor="text1"/>
          <w:sz w:val="30"/>
          <w:szCs w:val="30"/>
        </w:rPr>
        <w:t>网络视频</w:t>
      </w:r>
      <w:bookmarkEnd w:id="255"/>
    </w:p>
    <w:p w14:paraId="7BC38F0A" w14:textId="77777777" w:rsidR="008810A2" w:rsidRDefault="00D921E0">
      <w:pPr>
        <w:ind w:firstLine="420"/>
      </w:pPr>
      <w:r>
        <w:rPr>
          <w:rFonts w:hint="eastAsia"/>
        </w:rPr>
        <w:t>截至</w:t>
      </w:r>
      <w:r>
        <w:rPr>
          <w:rFonts w:hint="eastAsia"/>
        </w:rPr>
        <w:t>2024</w:t>
      </w:r>
      <w:r>
        <w:rPr>
          <w:rFonts w:hint="eastAsia"/>
        </w:rPr>
        <w:t>年</w:t>
      </w:r>
      <w:r>
        <w:rPr>
          <w:rFonts w:hint="eastAsia"/>
        </w:rPr>
        <w:t>6</w:t>
      </w:r>
      <w:r>
        <w:rPr>
          <w:rFonts w:hint="eastAsia"/>
        </w:rPr>
        <w:t>月，网络视频</w:t>
      </w:r>
      <w:r>
        <w:rPr>
          <w:rStyle w:val="affe"/>
        </w:rPr>
        <w:footnoteReference w:id="53"/>
      </w:r>
      <w:r>
        <w:rPr>
          <w:rFonts w:hint="eastAsia"/>
        </w:rPr>
        <w:t>（</w:t>
      </w:r>
      <w:proofErr w:type="gramStart"/>
      <w:r>
        <w:rPr>
          <w:rFonts w:hint="eastAsia"/>
        </w:rPr>
        <w:t>含短视频</w:t>
      </w:r>
      <w:proofErr w:type="gramEnd"/>
      <w:r>
        <w:rPr>
          <w:rFonts w:hint="eastAsia"/>
        </w:rPr>
        <w:t>、微短剧）用户规模达</w:t>
      </w:r>
      <w:r>
        <w:rPr>
          <w:rFonts w:hint="eastAsia"/>
        </w:rPr>
        <w:t>10.68</w:t>
      </w:r>
      <w:r>
        <w:rPr>
          <w:rFonts w:hint="eastAsia"/>
        </w:rPr>
        <w:t>亿人，较</w:t>
      </w:r>
      <w:r>
        <w:rPr>
          <w:rFonts w:hint="eastAsia"/>
        </w:rPr>
        <w:t>2023</w:t>
      </w:r>
      <w:r>
        <w:rPr>
          <w:rFonts w:hint="eastAsia"/>
        </w:rPr>
        <w:t>年</w:t>
      </w:r>
      <w:r>
        <w:rPr>
          <w:rFonts w:hint="eastAsia"/>
        </w:rPr>
        <w:t>12</w:t>
      </w:r>
      <w:r>
        <w:rPr>
          <w:rFonts w:hint="eastAsia"/>
        </w:rPr>
        <w:t>月增长</w:t>
      </w:r>
      <w:r>
        <w:rPr>
          <w:rFonts w:hint="eastAsia"/>
        </w:rPr>
        <w:t>125</w:t>
      </w:r>
      <w:r>
        <w:rPr>
          <w:rFonts w:hint="eastAsia"/>
        </w:rPr>
        <w:t>万人，占网民整体的</w:t>
      </w:r>
      <w:r>
        <w:rPr>
          <w:rFonts w:hint="eastAsia"/>
        </w:rPr>
        <w:t>97.1%</w:t>
      </w:r>
      <w:r>
        <w:rPr>
          <w:rFonts w:hint="eastAsia"/>
        </w:rPr>
        <w:t>。其中，短视频用户规模达</w:t>
      </w:r>
      <w:r>
        <w:rPr>
          <w:rFonts w:hint="eastAsia"/>
        </w:rPr>
        <w:t>10.50</w:t>
      </w:r>
      <w:r>
        <w:rPr>
          <w:rFonts w:hint="eastAsia"/>
        </w:rPr>
        <w:t>亿人，占网民整体的</w:t>
      </w:r>
      <w:r>
        <w:rPr>
          <w:rFonts w:hint="eastAsia"/>
        </w:rPr>
        <w:t>95.5%</w:t>
      </w:r>
      <w:r>
        <w:t>。</w:t>
      </w:r>
    </w:p>
    <w:p w14:paraId="18536F04" w14:textId="77777777" w:rsidR="008810A2" w:rsidRDefault="00D921E0">
      <w:pPr>
        <w:keepNext/>
        <w:widowControl/>
        <w:spacing w:beforeLines="50" w:before="156"/>
        <w:ind w:firstLineChars="0" w:firstLine="0"/>
        <w:jc w:val="center"/>
        <w:rPr>
          <w:rFonts w:eastAsia="仿宋"/>
          <w:sz w:val="24"/>
          <w:szCs w:val="20"/>
        </w:rPr>
      </w:pPr>
      <w:r>
        <w:rPr>
          <w:rFonts w:eastAsia="仿宋"/>
          <w:noProof/>
          <w:sz w:val="24"/>
          <w:szCs w:val="20"/>
        </w:rPr>
        <w:drawing>
          <wp:inline distT="0" distB="0" distL="0" distR="0" wp14:anchorId="625049AF" wp14:editId="3D279857">
            <wp:extent cx="4895850" cy="2876550"/>
            <wp:effectExtent l="4445" t="4445" r="6985" b="14605"/>
            <wp:docPr id="2052911607" name="图表 2052911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D6B402" w14:textId="30A9FC85"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30</w:t>
      </w:r>
      <w:r>
        <w:fldChar w:fldCharType="end"/>
      </w:r>
      <w:r>
        <w:t xml:space="preserve">  202</w:t>
      </w:r>
      <w:r>
        <w:rPr>
          <w:rFonts w:hint="eastAsia"/>
        </w:rPr>
        <w:t>2</w:t>
      </w:r>
      <w:r>
        <w:t>.</w:t>
      </w:r>
      <w:r>
        <w:rPr>
          <w:rFonts w:hint="eastAsia"/>
        </w:rPr>
        <w:t>6</w:t>
      </w:r>
      <w:r>
        <w:t>-202</w:t>
      </w:r>
      <w:r>
        <w:rPr>
          <w:rFonts w:hint="eastAsia"/>
        </w:rPr>
        <w:t>4</w:t>
      </w:r>
      <w:r>
        <w:t>.</w:t>
      </w:r>
      <w:r>
        <w:rPr>
          <w:rFonts w:hint="eastAsia"/>
        </w:rPr>
        <w:t>6</w:t>
      </w:r>
      <w:r>
        <w:t>网络视频用户规模及使用率</w:t>
      </w:r>
    </w:p>
    <w:p w14:paraId="6EC49C79" w14:textId="77777777" w:rsidR="008810A2" w:rsidRDefault="00D921E0">
      <w:pPr>
        <w:ind w:firstLine="420"/>
      </w:pPr>
      <w:r>
        <w:rPr>
          <w:rFonts w:hint="eastAsia"/>
        </w:rPr>
        <w:t>以内容产品的时长为划分标准，网络视频行业可分为长视频、中视频、短视频、微短剧等细分领域。</w:t>
      </w:r>
      <w:r>
        <w:rPr>
          <w:rFonts w:hint="eastAsia"/>
        </w:rPr>
        <w:t>2024</w:t>
      </w:r>
      <w:r>
        <w:rPr>
          <w:rFonts w:hint="eastAsia"/>
        </w:rPr>
        <w:t>年上半年，长短视频、微短剧领域展示各自较为明显的发展特征。</w:t>
      </w:r>
    </w:p>
    <w:p w14:paraId="07B3AF71" w14:textId="77777777" w:rsidR="008810A2" w:rsidRDefault="00D921E0">
      <w:pPr>
        <w:ind w:firstLine="422"/>
      </w:pPr>
      <w:r>
        <w:rPr>
          <w:rFonts w:hint="eastAsia"/>
          <w:b/>
          <w:bCs/>
        </w:rPr>
        <w:t>微短剧行业迅猛发展。</w:t>
      </w:r>
      <w:r>
        <w:rPr>
          <w:rFonts w:hint="eastAsia"/>
        </w:rPr>
        <w:t>凭借小体量、快节奏、低成本的特点，微短剧已成为推动网络视频行业创新发展的新力量。</w:t>
      </w:r>
      <w:r>
        <w:rPr>
          <w:rFonts w:hint="eastAsia"/>
          <w:b/>
          <w:bCs/>
        </w:rPr>
        <w:t>一是用户规模快速增长。</w:t>
      </w:r>
      <w:r>
        <w:rPr>
          <w:rFonts w:hint="eastAsia"/>
        </w:rPr>
        <w:t>截至</w:t>
      </w:r>
      <w:r>
        <w:rPr>
          <w:rFonts w:hint="eastAsia"/>
        </w:rPr>
        <w:t>6</w:t>
      </w:r>
      <w:r>
        <w:rPr>
          <w:rFonts w:hint="eastAsia"/>
        </w:rPr>
        <w:t>月，微短剧用户规模达</w:t>
      </w:r>
      <w:r>
        <w:rPr>
          <w:rFonts w:hint="eastAsia"/>
        </w:rPr>
        <w:t>5.76</w:t>
      </w:r>
      <w:r>
        <w:rPr>
          <w:rFonts w:hint="eastAsia"/>
        </w:rPr>
        <w:t>亿</w:t>
      </w:r>
      <w:r>
        <w:rPr>
          <w:rFonts w:hint="eastAsia"/>
        </w:rPr>
        <w:lastRenderedPageBreak/>
        <w:t>人，网民使用率为</w:t>
      </w:r>
      <w:r>
        <w:rPr>
          <w:rFonts w:hint="eastAsia"/>
        </w:rPr>
        <w:t>52.4%</w:t>
      </w:r>
      <w:r>
        <w:rPr>
          <w:rFonts w:hint="eastAsia"/>
        </w:rPr>
        <w:t>。</w:t>
      </w:r>
      <w:r>
        <w:rPr>
          <w:rFonts w:hint="eastAsia"/>
          <w:b/>
          <w:bCs/>
        </w:rPr>
        <w:t>二是内容生产力不断提升。</w:t>
      </w:r>
      <w:r>
        <w:rPr>
          <w:rFonts w:hint="eastAsia"/>
        </w:rPr>
        <w:t>微短剧用户需求旺盛，通过引入人工智能技术，创作效率明显提升。</w:t>
      </w:r>
      <w:r>
        <w:rPr>
          <w:rFonts w:hint="eastAsia"/>
        </w:rPr>
        <w:t>6</w:t>
      </w:r>
      <w:r>
        <w:rPr>
          <w:rFonts w:hint="eastAsia"/>
        </w:rPr>
        <w:t>月以来，多部</w:t>
      </w:r>
      <w:r>
        <w:rPr>
          <w:rFonts w:hint="eastAsia"/>
        </w:rPr>
        <w:t>AIGC</w:t>
      </w:r>
      <w:r>
        <w:rPr>
          <w:rStyle w:val="affe"/>
        </w:rPr>
        <w:footnoteReference w:id="54"/>
      </w:r>
      <w:r>
        <w:rPr>
          <w:rFonts w:hint="eastAsia"/>
        </w:rPr>
        <w:t>微短剧陆续上线，制作周期大幅缩短，成片效果超出预期。</w:t>
      </w:r>
      <w:r>
        <w:rPr>
          <w:rFonts w:hint="eastAsia"/>
          <w:b/>
          <w:bCs/>
        </w:rPr>
        <w:t>三是</w:t>
      </w:r>
      <w:proofErr w:type="gramStart"/>
      <w:r>
        <w:rPr>
          <w:rFonts w:hint="eastAsia"/>
          <w:b/>
          <w:bCs/>
        </w:rPr>
        <w:t>赋能文旅产业</w:t>
      </w:r>
      <w:proofErr w:type="gramEnd"/>
      <w:r>
        <w:rPr>
          <w:rFonts w:hint="eastAsia"/>
          <w:b/>
          <w:bCs/>
        </w:rPr>
        <w:t>。</w:t>
      </w:r>
      <w:r>
        <w:rPr>
          <w:rFonts w:hint="eastAsia"/>
        </w:rPr>
        <w:t>1</w:t>
      </w:r>
      <w:r>
        <w:rPr>
          <w:rFonts w:hint="eastAsia"/>
        </w:rPr>
        <w:t>月，国家广播电视总局发布“跟着微短剧去旅行”创作计划，引导各地结合当地文化和旅游资源，在已有重点微短剧项目中增加文化和旅游元素、创意、情节，或者通过自制、中外联合制作等方式开发新作品，营造旅行打卡新风尚</w:t>
      </w:r>
      <w:r>
        <w:rPr>
          <w:rStyle w:val="affe"/>
        </w:rPr>
        <w:footnoteReference w:id="55"/>
      </w:r>
      <w:r>
        <w:rPr>
          <w:rFonts w:hint="eastAsia"/>
        </w:rPr>
        <w:t>。</w:t>
      </w:r>
    </w:p>
    <w:p w14:paraId="135E41AB" w14:textId="77777777" w:rsidR="008810A2" w:rsidRDefault="00D921E0">
      <w:pPr>
        <w:ind w:firstLine="422"/>
      </w:pPr>
      <w:r>
        <w:rPr>
          <w:rFonts w:hint="eastAsia"/>
          <w:b/>
          <w:bCs/>
        </w:rPr>
        <w:t>短视频行业持续繁荣。一是用户黏性稳步提升。</w:t>
      </w:r>
      <w:r>
        <w:rPr>
          <w:rFonts w:hint="eastAsia"/>
        </w:rPr>
        <w:t>短视频平台用户规模、使用时长稳步增长。</w:t>
      </w:r>
      <w:r>
        <w:rPr>
          <w:rFonts w:hint="eastAsia"/>
        </w:rPr>
        <w:t>3</w:t>
      </w:r>
      <w:r>
        <w:rPr>
          <w:rFonts w:hint="eastAsia"/>
        </w:rPr>
        <w:t>月，</w:t>
      </w:r>
      <w:proofErr w:type="gramStart"/>
      <w:r>
        <w:rPr>
          <w:rFonts w:hint="eastAsia"/>
        </w:rPr>
        <w:t>抖音用户</w:t>
      </w:r>
      <w:proofErr w:type="gramEnd"/>
      <w:r>
        <w:rPr>
          <w:rFonts w:hint="eastAsia"/>
        </w:rPr>
        <w:t>使用时长同比增量占网络视频行业的一半以上</w:t>
      </w:r>
      <w:r>
        <w:rPr>
          <w:rStyle w:val="affe"/>
        </w:rPr>
        <w:footnoteReference w:id="56"/>
      </w:r>
      <w:r>
        <w:rPr>
          <w:rFonts w:hint="eastAsia"/>
        </w:rPr>
        <w:t>；一季度，</w:t>
      </w:r>
      <w:proofErr w:type="gramStart"/>
      <w:r>
        <w:rPr>
          <w:rFonts w:hint="eastAsia"/>
        </w:rPr>
        <w:t>快手</w:t>
      </w:r>
      <w:r>
        <w:t>月活跃</w:t>
      </w:r>
      <w:proofErr w:type="gramEnd"/>
      <w:r>
        <w:t>用户</w:t>
      </w:r>
      <w:r>
        <w:rPr>
          <w:rFonts w:hint="eastAsia"/>
        </w:rPr>
        <w:t>数量、总</w:t>
      </w:r>
      <w:r>
        <w:t>使用时长同比</w:t>
      </w:r>
      <w:r>
        <w:rPr>
          <w:rFonts w:hint="eastAsia"/>
        </w:rPr>
        <w:t>分别</w:t>
      </w:r>
      <w:r>
        <w:t>增长</w:t>
      </w:r>
      <w:r>
        <w:rPr>
          <w:rFonts w:hint="eastAsia"/>
        </w:rPr>
        <w:t>6.6%</w:t>
      </w:r>
      <w:r>
        <w:rPr>
          <w:rFonts w:hint="eastAsia"/>
        </w:rPr>
        <w:t>、</w:t>
      </w:r>
      <w:r>
        <w:t>8.6%</w:t>
      </w:r>
      <w:r>
        <w:rPr>
          <w:rStyle w:val="affe"/>
        </w:rPr>
        <w:footnoteReference w:id="57"/>
      </w:r>
      <w:r>
        <w:rPr>
          <w:rFonts w:hint="eastAsia"/>
        </w:rPr>
        <w:t>。</w:t>
      </w:r>
      <w:r>
        <w:rPr>
          <w:rFonts w:hint="eastAsia"/>
          <w:b/>
          <w:bCs/>
        </w:rPr>
        <w:t>二是</w:t>
      </w:r>
      <w:r>
        <w:rPr>
          <w:b/>
          <w:bCs/>
        </w:rPr>
        <w:t>盈利能力</w:t>
      </w:r>
      <w:r>
        <w:rPr>
          <w:rFonts w:hint="eastAsia"/>
          <w:b/>
          <w:bCs/>
        </w:rPr>
        <w:t>持续向好。</w:t>
      </w:r>
      <w:r>
        <w:rPr>
          <w:rFonts w:hint="eastAsia"/>
        </w:rPr>
        <w:t>短视频平台的</w:t>
      </w:r>
      <w:r>
        <w:t>电</w:t>
      </w:r>
      <w:proofErr w:type="gramStart"/>
      <w:r>
        <w:t>商</w:t>
      </w:r>
      <w:r>
        <w:rPr>
          <w:rFonts w:hint="eastAsia"/>
        </w:rPr>
        <w:t>业务</w:t>
      </w:r>
      <w:proofErr w:type="gramEnd"/>
      <w:r>
        <w:rPr>
          <w:rFonts w:hint="eastAsia"/>
        </w:rPr>
        <w:t>稳步发展</w:t>
      </w:r>
      <w:r>
        <w:t>，商业化变现效率持续</w:t>
      </w:r>
      <w:r>
        <w:rPr>
          <w:rFonts w:hint="eastAsia"/>
        </w:rPr>
        <w:t>走高。一季度，</w:t>
      </w:r>
      <w:proofErr w:type="gramStart"/>
      <w:r>
        <w:rPr>
          <w:rFonts w:hint="eastAsia"/>
        </w:rPr>
        <w:t>快手</w:t>
      </w:r>
      <w:r>
        <w:t>电商</w:t>
      </w:r>
      <w:r>
        <w:rPr>
          <w:rFonts w:hint="eastAsia"/>
        </w:rPr>
        <w:t>业务</w:t>
      </w:r>
      <w:proofErr w:type="gramEnd"/>
      <w:r>
        <w:rPr>
          <w:rFonts w:hint="eastAsia"/>
        </w:rPr>
        <w:t>商品交易总额</w:t>
      </w:r>
      <w:r>
        <w:t>同比增长</w:t>
      </w:r>
      <w:r>
        <w:t>28.2%</w:t>
      </w:r>
      <w:r>
        <w:rPr>
          <w:rStyle w:val="affe"/>
        </w:rPr>
        <w:footnoteReference w:id="58"/>
      </w:r>
      <w:r>
        <w:rPr>
          <w:rFonts w:hint="eastAsia"/>
        </w:rPr>
        <w:t>；</w:t>
      </w:r>
      <w:r>
        <w:rPr>
          <w:rFonts w:hint="eastAsia"/>
        </w:rPr>
        <w:t>618</w:t>
      </w:r>
      <w:r>
        <w:rPr>
          <w:rFonts w:hint="eastAsia"/>
        </w:rPr>
        <w:t>期间</w:t>
      </w:r>
      <w:r>
        <w:rPr>
          <w:rStyle w:val="affe"/>
        </w:rPr>
        <w:footnoteReference w:id="59"/>
      </w:r>
      <w:r>
        <w:rPr>
          <w:rFonts w:hint="eastAsia"/>
        </w:rPr>
        <w:t>，</w:t>
      </w:r>
      <w:proofErr w:type="gramStart"/>
      <w:r>
        <w:rPr>
          <w:rFonts w:hint="eastAsia"/>
        </w:rPr>
        <w:t>抖音商城</w:t>
      </w:r>
      <w:proofErr w:type="gramEnd"/>
      <w:r>
        <w:rPr>
          <w:rFonts w:hint="eastAsia"/>
        </w:rPr>
        <w:t>订单数量同比增长</w:t>
      </w:r>
      <w:r>
        <w:rPr>
          <w:rFonts w:hint="eastAsia"/>
        </w:rPr>
        <w:t>94%</w:t>
      </w:r>
      <w:r>
        <w:rPr>
          <w:rFonts w:hint="eastAsia"/>
        </w:rPr>
        <w:t>，成交金额同比增长</w:t>
      </w:r>
      <w:r>
        <w:rPr>
          <w:rFonts w:hint="eastAsia"/>
        </w:rPr>
        <w:t>85%</w:t>
      </w:r>
      <w:r>
        <w:rPr>
          <w:rStyle w:val="affe"/>
        </w:rPr>
        <w:footnoteReference w:id="60"/>
      </w:r>
      <w:r>
        <w:rPr>
          <w:rFonts w:hint="eastAsia"/>
        </w:rPr>
        <w:t>。</w:t>
      </w:r>
    </w:p>
    <w:p w14:paraId="2209F8C4" w14:textId="77777777" w:rsidR="008810A2" w:rsidRDefault="00D921E0">
      <w:pPr>
        <w:ind w:firstLine="422"/>
      </w:pPr>
      <w:r>
        <w:rPr>
          <w:rFonts w:hint="eastAsia"/>
          <w:b/>
          <w:bCs/>
        </w:rPr>
        <w:t>长视频行业继续提质增效。</w:t>
      </w:r>
      <w:r>
        <w:rPr>
          <w:rFonts w:hint="eastAsia"/>
        </w:rPr>
        <w:t>上半年，各大平台重塑内容标准、着力打造精品内容，上线剧</w:t>
      </w:r>
      <w:proofErr w:type="gramStart"/>
      <w:r>
        <w:rPr>
          <w:rFonts w:hint="eastAsia"/>
        </w:rPr>
        <w:t>集数量</w:t>
      </w:r>
      <w:proofErr w:type="gramEnd"/>
      <w:r>
        <w:rPr>
          <w:rFonts w:hint="eastAsia"/>
        </w:rPr>
        <w:t>同比减少</w:t>
      </w:r>
      <w:r>
        <w:rPr>
          <w:rFonts w:hint="eastAsia"/>
        </w:rPr>
        <w:t>6.8%</w:t>
      </w:r>
      <w:r>
        <w:rPr>
          <w:rFonts w:hint="eastAsia"/>
        </w:rPr>
        <w:t>，播放量同比增加</w:t>
      </w:r>
      <w:r>
        <w:rPr>
          <w:rFonts w:hint="eastAsia"/>
        </w:rPr>
        <w:t>35.1%</w:t>
      </w:r>
      <w:r>
        <w:rPr>
          <w:rFonts w:hint="eastAsia"/>
        </w:rPr>
        <w:t>，提质减量趋势延续</w:t>
      </w:r>
      <w:r>
        <w:rPr>
          <w:rStyle w:val="affe"/>
        </w:rPr>
        <w:footnoteReference w:id="61"/>
      </w:r>
      <w:r>
        <w:rPr>
          <w:rFonts w:hint="eastAsia"/>
        </w:rPr>
        <w:t>。《我的阿勒泰》《繁花》等剧集兼具热度与口碑，</w:t>
      </w:r>
      <w:r>
        <w:t>为</w:t>
      </w:r>
      <w:r>
        <w:rPr>
          <w:rFonts w:hint="eastAsia"/>
        </w:rPr>
        <w:t>用户</w:t>
      </w:r>
      <w:r>
        <w:t>带来了高质量的视听体验</w:t>
      </w:r>
      <w:r>
        <w:rPr>
          <w:rFonts w:hint="eastAsia"/>
        </w:rPr>
        <w:t>。此外，各大平台通过科技创新赋能全产业链，推动行业提质增效。</w:t>
      </w:r>
      <w:proofErr w:type="gramStart"/>
      <w:r>
        <w:rPr>
          <w:rFonts w:hint="eastAsia"/>
        </w:rPr>
        <w:t>如</w:t>
      </w:r>
      <w:r>
        <w:t>腾讯视频</w:t>
      </w:r>
      <w:proofErr w:type="gramEnd"/>
      <w:r>
        <w:t>打造了以</w:t>
      </w:r>
      <w:r>
        <w:rPr>
          <w:rFonts w:ascii="宋体" w:hAnsi="宋体"/>
        </w:rPr>
        <w:t>“剧本分析系统”和“</w:t>
      </w:r>
      <w:proofErr w:type="spellStart"/>
      <w:r>
        <w:t>ZenRender</w:t>
      </w:r>
      <w:proofErr w:type="spellEnd"/>
      <w:r>
        <w:rPr>
          <w:rFonts w:ascii="宋体" w:hAnsi="宋体"/>
        </w:rPr>
        <w:t>转绘引擎”</w:t>
      </w:r>
      <w:r>
        <w:t>为代表的</w:t>
      </w:r>
      <w:r>
        <w:t>AIGC</w:t>
      </w:r>
      <w:r>
        <w:t>内容生产引擎</w:t>
      </w:r>
      <w:r>
        <w:rPr>
          <w:rFonts w:hint="eastAsia"/>
        </w:rPr>
        <w:t>；</w:t>
      </w:r>
      <w:proofErr w:type="gramStart"/>
      <w:r>
        <w:rPr>
          <w:rFonts w:hint="eastAsia"/>
        </w:rPr>
        <w:t>爱奇艺</w:t>
      </w:r>
      <w:proofErr w:type="gramEnd"/>
      <w:r>
        <w:rPr>
          <w:rFonts w:hint="eastAsia"/>
        </w:rPr>
        <w:t>已将</w:t>
      </w:r>
      <w:r>
        <w:rPr>
          <w:rFonts w:hint="eastAsia"/>
        </w:rPr>
        <w:t>AIGC</w:t>
      </w:r>
      <w:r>
        <w:rPr>
          <w:rFonts w:hint="eastAsia"/>
        </w:rPr>
        <w:t>应用在</w:t>
      </w:r>
      <w:r>
        <w:t>策划、制作和宣发</w:t>
      </w:r>
      <w:r>
        <w:rPr>
          <w:rFonts w:hint="eastAsia"/>
        </w:rPr>
        <w:t>等各个环节，以此为杠杆放大创作者价值，助力产出</w:t>
      </w:r>
      <w:r>
        <w:t>更多精彩内容</w:t>
      </w:r>
      <w:r>
        <w:rPr>
          <w:rFonts w:hint="eastAsia"/>
        </w:rPr>
        <w:t>。</w:t>
      </w:r>
    </w:p>
    <w:p w14:paraId="73994128" w14:textId="77777777" w:rsidR="008810A2" w:rsidRDefault="00D921E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258" w:name="_Toc175065722"/>
      <w:bookmarkStart w:id="259" w:name="_Toc78288100"/>
      <w:bookmarkStart w:id="260" w:name="_Toc139464260"/>
      <w:bookmarkEnd w:id="256"/>
      <w:bookmarkEnd w:id="257"/>
      <w:r>
        <w:rPr>
          <w:rFonts w:eastAsia="楷体_GB2312"/>
          <w:color w:val="000000" w:themeColor="text1"/>
          <w:sz w:val="30"/>
          <w:szCs w:val="30"/>
        </w:rPr>
        <w:t>网络直播</w:t>
      </w:r>
      <w:bookmarkEnd w:id="258"/>
    </w:p>
    <w:p w14:paraId="59658015" w14:textId="77777777" w:rsidR="008810A2" w:rsidRDefault="00D921E0">
      <w:pPr>
        <w:ind w:firstLine="420"/>
        <w:rPr>
          <w:szCs w:val="21"/>
        </w:rPr>
      </w:pPr>
      <w:bookmarkStart w:id="261" w:name="_Toc78288101"/>
      <w:bookmarkEnd w:id="259"/>
      <w:bookmarkEnd w:id="260"/>
      <w:r>
        <w:rPr>
          <w:szCs w:val="21"/>
        </w:rPr>
        <w:t>截至</w:t>
      </w:r>
      <w:r>
        <w:rPr>
          <w:szCs w:val="21"/>
        </w:rPr>
        <w:t>20</w:t>
      </w:r>
      <w:r>
        <w:rPr>
          <w:rFonts w:hint="eastAsia"/>
          <w:szCs w:val="21"/>
        </w:rPr>
        <w:t>24</w:t>
      </w:r>
      <w:r>
        <w:rPr>
          <w:szCs w:val="21"/>
        </w:rPr>
        <w:t>年</w:t>
      </w:r>
      <w:r>
        <w:rPr>
          <w:rFonts w:hint="eastAsia"/>
          <w:szCs w:val="21"/>
        </w:rPr>
        <w:t>6</w:t>
      </w:r>
      <w:r>
        <w:rPr>
          <w:szCs w:val="21"/>
        </w:rPr>
        <w:t>月，我国网络直播用户规模达</w:t>
      </w:r>
      <w:r>
        <w:rPr>
          <w:rFonts w:hint="eastAsia"/>
          <w:szCs w:val="21"/>
        </w:rPr>
        <w:t>7.77</w:t>
      </w:r>
      <w:r>
        <w:rPr>
          <w:szCs w:val="21"/>
        </w:rPr>
        <w:t>亿人，较</w:t>
      </w:r>
      <w:r>
        <w:rPr>
          <w:szCs w:val="21"/>
        </w:rPr>
        <w:t>20</w:t>
      </w:r>
      <w:r>
        <w:rPr>
          <w:rFonts w:hint="eastAsia"/>
          <w:szCs w:val="21"/>
        </w:rPr>
        <w:t>23</w:t>
      </w:r>
      <w:r>
        <w:rPr>
          <w:szCs w:val="21"/>
        </w:rPr>
        <w:t>年</w:t>
      </w:r>
      <w:r>
        <w:rPr>
          <w:szCs w:val="21"/>
        </w:rPr>
        <w:t>12</w:t>
      </w:r>
      <w:r>
        <w:rPr>
          <w:szCs w:val="21"/>
        </w:rPr>
        <w:t>月</w:t>
      </w:r>
      <w:r>
        <w:rPr>
          <w:rFonts w:hint="eastAsia"/>
          <w:szCs w:val="21"/>
        </w:rPr>
        <w:t>减少</w:t>
      </w:r>
      <w:r>
        <w:rPr>
          <w:rFonts w:hint="eastAsia"/>
          <w:szCs w:val="21"/>
        </w:rPr>
        <w:t>3912</w:t>
      </w:r>
      <w:r>
        <w:rPr>
          <w:szCs w:val="21"/>
        </w:rPr>
        <w:t>万人，占网民整体的</w:t>
      </w:r>
      <w:r>
        <w:rPr>
          <w:rFonts w:hint="eastAsia"/>
          <w:szCs w:val="21"/>
        </w:rPr>
        <w:t>70.6%</w:t>
      </w:r>
      <w:r>
        <w:rPr>
          <w:rFonts w:hint="eastAsia"/>
          <w:szCs w:val="21"/>
        </w:rPr>
        <w:t>。</w:t>
      </w:r>
    </w:p>
    <w:p w14:paraId="25EF9CD7" w14:textId="77777777" w:rsidR="008810A2" w:rsidRDefault="00D921E0">
      <w:pPr>
        <w:keepNext/>
        <w:spacing w:beforeLines="50" w:before="156"/>
        <w:ind w:firstLineChars="0" w:firstLine="0"/>
        <w:jc w:val="center"/>
        <w:rPr>
          <w:color w:val="000000" w:themeColor="text1"/>
        </w:rPr>
      </w:pPr>
      <w:r>
        <w:rPr>
          <w:rFonts w:eastAsia="仿宋"/>
          <w:noProof/>
          <w:sz w:val="24"/>
          <w:szCs w:val="20"/>
        </w:rPr>
        <w:lastRenderedPageBreak/>
        <w:drawing>
          <wp:inline distT="0" distB="0" distL="0" distR="0" wp14:anchorId="330C0C4F" wp14:editId="70411035">
            <wp:extent cx="4895850" cy="2876550"/>
            <wp:effectExtent l="4445" t="4445" r="6985" b="14605"/>
            <wp:docPr id="1350950323" name="图表 1350950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60BD91" w14:textId="0CB5A202"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31</w:t>
      </w:r>
      <w:r>
        <w:fldChar w:fldCharType="end"/>
      </w:r>
      <w:r>
        <w:rPr>
          <w:color w:val="auto"/>
        </w:rPr>
        <w:t xml:space="preserve">  20</w:t>
      </w:r>
      <w:r>
        <w:rPr>
          <w:rFonts w:hint="eastAsia"/>
          <w:color w:val="auto"/>
        </w:rPr>
        <w:t>22</w:t>
      </w:r>
      <w:r>
        <w:rPr>
          <w:color w:val="auto"/>
        </w:rPr>
        <w:t>.</w:t>
      </w:r>
      <w:r>
        <w:rPr>
          <w:rFonts w:hint="eastAsia"/>
          <w:color w:val="auto"/>
        </w:rPr>
        <w:t>6</w:t>
      </w:r>
      <w:r>
        <w:rPr>
          <w:color w:val="auto"/>
        </w:rPr>
        <w:t>-20</w:t>
      </w:r>
      <w:r>
        <w:rPr>
          <w:rFonts w:hint="eastAsia"/>
          <w:color w:val="auto"/>
        </w:rPr>
        <w:t>24</w:t>
      </w:r>
      <w:r>
        <w:rPr>
          <w:color w:val="auto"/>
        </w:rPr>
        <w:t>.</w:t>
      </w:r>
      <w:r>
        <w:rPr>
          <w:rFonts w:hint="eastAsia"/>
          <w:color w:val="auto"/>
        </w:rPr>
        <w:t>6</w:t>
      </w:r>
      <w:r>
        <w:t>网络直播用户规模及使用率</w:t>
      </w:r>
    </w:p>
    <w:p w14:paraId="3E555F3C" w14:textId="77777777" w:rsidR="008810A2" w:rsidRDefault="00D921E0">
      <w:pPr>
        <w:ind w:firstLine="420"/>
        <w:rPr>
          <w:szCs w:val="21"/>
        </w:rPr>
      </w:pPr>
      <w:r>
        <w:rPr>
          <w:rFonts w:hint="eastAsia"/>
          <w:szCs w:val="21"/>
        </w:rPr>
        <w:t>2024</w:t>
      </w:r>
      <w:r>
        <w:rPr>
          <w:rFonts w:hint="eastAsia"/>
          <w:szCs w:val="21"/>
        </w:rPr>
        <w:t>年上半年，更多企业</w:t>
      </w:r>
      <w:proofErr w:type="gramStart"/>
      <w:r>
        <w:rPr>
          <w:rFonts w:hint="eastAsia"/>
          <w:szCs w:val="21"/>
        </w:rPr>
        <w:t>布局电</w:t>
      </w:r>
      <w:proofErr w:type="gramEnd"/>
      <w:r>
        <w:rPr>
          <w:rFonts w:hint="eastAsia"/>
          <w:szCs w:val="21"/>
        </w:rPr>
        <w:t>商直播，巩固优势、拓展业务。新兴技术深度赋能直播行业，创新形式、提升效率。</w:t>
      </w:r>
    </w:p>
    <w:p w14:paraId="6C334880" w14:textId="77777777" w:rsidR="008810A2" w:rsidRDefault="00D921E0">
      <w:pPr>
        <w:ind w:firstLine="422"/>
        <w:rPr>
          <w:szCs w:val="21"/>
        </w:rPr>
      </w:pPr>
      <w:r>
        <w:rPr>
          <w:rFonts w:hint="eastAsia"/>
          <w:b/>
          <w:bCs/>
          <w:szCs w:val="21"/>
        </w:rPr>
        <w:t>更多企业布局直播。</w:t>
      </w:r>
      <w:r>
        <w:rPr>
          <w:rFonts w:hint="eastAsia"/>
          <w:szCs w:val="21"/>
        </w:rPr>
        <w:t>2024</w:t>
      </w:r>
      <w:r>
        <w:rPr>
          <w:rFonts w:hint="eastAsia"/>
          <w:szCs w:val="21"/>
        </w:rPr>
        <w:t>年上半年，更多互联网企业将直播作为巩固核心业务优势，拓展业务领域的重要手段。</w:t>
      </w:r>
      <w:proofErr w:type="gramStart"/>
      <w:r>
        <w:rPr>
          <w:rFonts w:hint="eastAsia"/>
          <w:szCs w:val="21"/>
        </w:rPr>
        <w:t>美团于</w:t>
      </w:r>
      <w:proofErr w:type="gramEnd"/>
      <w:r>
        <w:rPr>
          <w:rFonts w:hint="eastAsia"/>
          <w:szCs w:val="21"/>
        </w:rPr>
        <w:t>节假日期间推出专场直播活动，其官方直播扩展到更多地区，频次进一步提高</w:t>
      </w:r>
      <w:r>
        <w:rPr>
          <w:rStyle w:val="affe"/>
          <w:szCs w:val="21"/>
        </w:rPr>
        <w:footnoteReference w:id="62"/>
      </w:r>
      <w:r>
        <w:rPr>
          <w:rFonts w:hint="eastAsia"/>
          <w:szCs w:val="21"/>
        </w:rPr>
        <w:t>。京东推出企业家数字人直播形式，借此进一步布局内容生态建设，为用户带来更好的直播购物体验</w:t>
      </w:r>
      <w:r>
        <w:rPr>
          <w:rStyle w:val="affe"/>
          <w:szCs w:val="21"/>
        </w:rPr>
        <w:footnoteReference w:id="63"/>
      </w:r>
      <w:r>
        <w:rPr>
          <w:rFonts w:hint="eastAsia"/>
          <w:szCs w:val="21"/>
        </w:rPr>
        <w:t>。</w:t>
      </w:r>
      <w:proofErr w:type="gramStart"/>
      <w:r>
        <w:rPr>
          <w:rFonts w:hint="eastAsia"/>
          <w:szCs w:val="21"/>
        </w:rPr>
        <w:t>腾讯通过</w:t>
      </w:r>
      <w:proofErr w:type="gramEnd"/>
      <w:r>
        <w:rPr>
          <w:rFonts w:hint="eastAsia"/>
          <w:szCs w:val="21"/>
        </w:rPr>
        <w:t>拓展商品品类和激励更多内容创作者参与直播带货，进一步巩固视频号直播带货生态</w:t>
      </w:r>
      <w:r>
        <w:rPr>
          <w:rStyle w:val="affe"/>
          <w:szCs w:val="21"/>
        </w:rPr>
        <w:footnoteReference w:id="64"/>
      </w:r>
      <w:r>
        <w:rPr>
          <w:rFonts w:hint="eastAsia"/>
          <w:szCs w:val="21"/>
        </w:rPr>
        <w:t>。</w:t>
      </w:r>
    </w:p>
    <w:p w14:paraId="06715030" w14:textId="77777777" w:rsidR="008810A2" w:rsidRDefault="00D921E0">
      <w:pPr>
        <w:ind w:firstLine="422"/>
        <w:rPr>
          <w:szCs w:val="21"/>
        </w:rPr>
      </w:pPr>
      <w:r>
        <w:rPr>
          <w:rFonts w:hint="eastAsia"/>
          <w:b/>
          <w:bCs/>
          <w:szCs w:val="21"/>
        </w:rPr>
        <w:t>新兴技术深度赋能。</w:t>
      </w:r>
      <w:r>
        <w:rPr>
          <w:rFonts w:hint="eastAsia"/>
          <w:szCs w:val="21"/>
        </w:rPr>
        <w:t>2024</w:t>
      </w:r>
      <w:r>
        <w:rPr>
          <w:rFonts w:hint="eastAsia"/>
          <w:szCs w:val="21"/>
        </w:rPr>
        <w:t>年上半年，新兴技术进一步深度赋能直播行业，推动直播形式更加丰富，直播效率进一步提升。在电商直播中，虚拟数字人技术应用更加广泛。百度智能</w:t>
      </w:r>
      <w:proofErr w:type="gramStart"/>
      <w:r>
        <w:rPr>
          <w:rFonts w:hint="eastAsia"/>
          <w:szCs w:val="21"/>
        </w:rPr>
        <w:t>云曦灵推出</w:t>
      </w:r>
      <w:proofErr w:type="gramEnd"/>
      <w:r>
        <w:rPr>
          <w:rFonts w:hint="eastAsia"/>
          <w:szCs w:val="21"/>
        </w:rPr>
        <w:t>最新版</w:t>
      </w:r>
      <w:r>
        <w:rPr>
          <w:rFonts w:hint="eastAsia"/>
          <w:szCs w:val="21"/>
        </w:rPr>
        <w:t>2D</w:t>
      </w:r>
      <w:r>
        <w:rPr>
          <w:rFonts w:hint="eastAsia"/>
          <w:szCs w:val="21"/>
        </w:rPr>
        <w:t>数字人直播业务，可通过上传真人视频，复</w:t>
      </w:r>
      <w:proofErr w:type="gramStart"/>
      <w:r>
        <w:rPr>
          <w:rFonts w:hint="eastAsia"/>
          <w:szCs w:val="21"/>
        </w:rPr>
        <w:t>刻数字</w:t>
      </w:r>
      <w:proofErr w:type="gramEnd"/>
      <w:r>
        <w:rPr>
          <w:rFonts w:hint="eastAsia"/>
          <w:szCs w:val="21"/>
        </w:rPr>
        <w:t>人主播形象。在输入关键词后，可自动生成商品介绍、</w:t>
      </w:r>
      <w:proofErr w:type="gramStart"/>
      <w:r>
        <w:rPr>
          <w:rFonts w:hint="eastAsia"/>
          <w:szCs w:val="21"/>
        </w:rPr>
        <w:t>场控直播</w:t>
      </w:r>
      <w:proofErr w:type="gramEnd"/>
      <w:r>
        <w:rPr>
          <w:rFonts w:hint="eastAsia"/>
          <w:szCs w:val="21"/>
        </w:rPr>
        <w:t>话术，开启数字人直播。</w:t>
      </w:r>
      <w:proofErr w:type="gramStart"/>
      <w:r>
        <w:rPr>
          <w:rFonts w:hint="eastAsia"/>
          <w:szCs w:val="21"/>
        </w:rPr>
        <w:t>世优科技</w:t>
      </w:r>
      <w:proofErr w:type="gramEnd"/>
      <w:r>
        <w:rPr>
          <w:rFonts w:hint="eastAsia"/>
          <w:szCs w:val="21"/>
        </w:rPr>
        <w:t>推出“</w:t>
      </w:r>
      <w:r>
        <w:rPr>
          <w:rFonts w:hint="eastAsia"/>
          <w:szCs w:val="21"/>
        </w:rPr>
        <w:t>AI</w:t>
      </w:r>
      <w:r>
        <w:rPr>
          <w:rFonts w:hint="eastAsia"/>
          <w:szCs w:val="21"/>
        </w:rPr>
        <w:t>数字人直播系统”，可帮助商家迅速搭建</w:t>
      </w:r>
      <w:r>
        <w:rPr>
          <w:rFonts w:hint="eastAsia"/>
          <w:szCs w:val="21"/>
        </w:rPr>
        <w:t>AI</w:t>
      </w:r>
      <w:r>
        <w:rPr>
          <w:rFonts w:hint="eastAsia"/>
          <w:szCs w:val="21"/>
        </w:rPr>
        <w:t>数字人直播间。在体育直播中，人工智能技术已可自动实现拍摄、制作、分发，并通过对视频内容自动识别和标注，自动剪辑精彩片段、推荐相关的内容等，有效提升制作效率。</w:t>
      </w:r>
    </w:p>
    <w:p w14:paraId="441DF450" w14:textId="77777777" w:rsidR="008810A2" w:rsidRDefault="00D921E0">
      <w:pPr>
        <w:keepLines/>
        <w:numPr>
          <w:ilvl w:val="0"/>
          <w:numId w:val="13"/>
        </w:numPr>
        <w:topLinePunct/>
        <w:snapToGrid w:val="0"/>
        <w:spacing w:before="320" w:after="200"/>
        <w:ind w:firstLineChars="0"/>
        <w:outlineLvl w:val="2"/>
        <w:rPr>
          <w:rFonts w:eastAsia="楷体_GB2312"/>
          <w:color w:val="000000" w:themeColor="text1"/>
          <w:sz w:val="30"/>
          <w:szCs w:val="30"/>
        </w:rPr>
      </w:pPr>
      <w:bookmarkStart w:id="262" w:name="_Toc175065723"/>
      <w:bookmarkStart w:id="263" w:name="_Toc128662662"/>
      <w:bookmarkStart w:id="264" w:name="_Toc139464262"/>
      <w:bookmarkEnd w:id="261"/>
      <w:r>
        <w:rPr>
          <w:rFonts w:eastAsia="楷体_GB2312"/>
          <w:color w:val="000000" w:themeColor="text1"/>
          <w:sz w:val="30"/>
          <w:szCs w:val="30"/>
        </w:rPr>
        <w:lastRenderedPageBreak/>
        <w:t>网络音乐</w:t>
      </w:r>
      <w:bookmarkEnd w:id="262"/>
    </w:p>
    <w:p w14:paraId="4C3287B7" w14:textId="77777777" w:rsidR="008810A2" w:rsidRDefault="00D921E0">
      <w:pPr>
        <w:ind w:firstLine="420"/>
      </w:pPr>
      <w:r>
        <w:t>截至</w:t>
      </w:r>
      <w:r>
        <w:t>2024</w:t>
      </w:r>
      <w:r>
        <w:t>年</w:t>
      </w:r>
      <w:r>
        <w:t>6</w:t>
      </w:r>
      <w:r>
        <w:t>月，我国网络音乐用户规模达</w:t>
      </w:r>
      <w:r>
        <w:t>7.29</w:t>
      </w:r>
      <w:r>
        <w:t>亿人，较</w:t>
      </w:r>
      <w:r>
        <w:t>2023</w:t>
      </w:r>
      <w:r>
        <w:t>年</w:t>
      </w:r>
      <w:r>
        <w:t>12</w:t>
      </w:r>
      <w:r>
        <w:t>月增加</w:t>
      </w:r>
      <w:r>
        <w:t>1450</w:t>
      </w:r>
      <w:r>
        <w:t>万人，占网民整体的</w:t>
      </w:r>
      <w:r>
        <w:t>66.3%</w:t>
      </w:r>
      <w:r>
        <w:t>。</w:t>
      </w:r>
    </w:p>
    <w:p w14:paraId="498D4B7A" w14:textId="77777777" w:rsidR="008810A2" w:rsidRDefault="00D921E0">
      <w:pPr>
        <w:pStyle w:val="afff4"/>
        <w:spacing w:before="156" w:line="360" w:lineRule="auto"/>
        <w:rPr>
          <w:rFonts w:ascii="Times New Roman" w:hAnsi="Times New Roman"/>
          <w:color w:val="000000" w:themeColor="text1"/>
        </w:rPr>
      </w:pPr>
      <w:r>
        <w:rPr>
          <w:rFonts w:ascii="Times New Roman" w:hAnsi="Times New Roman"/>
          <w:noProof/>
        </w:rPr>
        <w:drawing>
          <wp:inline distT="0" distB="0" distL="0" distR="0" wp14:anchorId="0B17B579" wp14:editId="27998BF2">
            <wp:extent cx="4895850" cy="2876550"/>
            <wp:effectExtent l="4445" t="4445" r="6985" b="14605"/>
            <wp:docPr id="1684342582" name="图表 1684342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C95528C" w14:textId="2969D413" w:rsidR="008810A2" w:rsidRDefault="00D921E0" w:rsidP="002B0D05">
      <w:pPr>
        <w:pStyle w:val="a4"/>
        <w:rPr>
          <w:color w:val="auto"/>
        </w:rPr>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32</w:t>
      </w:r>
      <w:r>
        <w:fldChar w:fldCharType="end"/>
      </w:r>
      <w:r>
        <w:t xml:space="preserve">  </w:t>
      </w:r>
      <w:r>
        <w:rPr>
          <w:color w:val="auto"/>
        </w:rPr>
        <w:t>2022.6-2024.6</w:t>
      </w:r>
      <w:r>
        <w:rPr>
          <w:color w:val="auto"/>
        </w:rPr>
        <w:t>网络音乐用户规模及使用率</w:t>
      </w:r>
    </w:p>
    <w:p w14:paraId="178CACCA" w14:textId="77777777" w:rsidR="008810A2" w:rsidRDefault="00D921E0">
      <w:pPr>
        <w:ind w:firstLine="420"/>
      </w:pPr>
      <w:r>
        <w:t>2024</w:t>
      </w:r>
      <w:r>
        <w:t>年上半年，我国网络音乐</w:t>
      </w:r>
      <w:r>
        <w:rPr>
          <w:rFonts w:hint="eastAsia"/>
        </w:rPr>
        <w:t>企业营收呈现增长势头</w:t>
      </w:r>
      <w:r>
        <w:t>，借助人工智能技术，进一步提升平台服务水平，推动行业发展进入新阶段。</w:t>
      </w:r>
    </w:p>
    <w:p w14:paraId="0ACD7264" w14:textId="77777777" w:rsidR="008810A2" w:rsidRDefault="00D921E0">
      <w:pPr>
        <w:ind w:firstLine="422"/>
      </w:pPr>
      <w:r>
        <w:rPr>
          <w:b/>
          <w:bCs/>
        </w:rPr>
        <w:t>一是网络音乐业务增长强劲。</w:t>
      </w:r>
      <w:r>
        <w:t>付费用户规模与在线音乐服务收入均显著增长。数据显示，</w:t>
      </w:r>
      <w:r>
        <w:t>2024</w:t>
      </w:r>
      <w:r>
        <w:t>年</w:t>
      </w:r>
      <w:r>
        <w:rPr>
          <w:rFonts w:hint="eastAsia"/>
        </w:rPr>
        <w:t>上半年</w:t>
      </w:r>
      <w:proofErr w:type="gramStart"/>
      <w:r>
        <w:t>腾讯音乐</w:t>
      </w:r>
      <w:proofErr w:type="gramEnd"/>
      <w:r>
        <w:t>娱乐集团在线音乐服务的付费用户数达</w:t>
      </w:r>
      <w:r>
        <w:rPr>
          <w:rFonts w:hint="eastAsia"/>
        </w:rPr>
        <w:t>2</w:t>
      </w:r>
      <w:r>
        <w:t>.</w:t>
      </w:r>
      <w:r>
        <w:rPr>
          <w:rFonts w:hint="eastAsia"/>
        </w:rPr>
        <w:t>31</w:t>
      </w:r>
      <w:r>
        <w:t>亿，同比增长</w:t>
      </w:r>
      <w:r>
        <w:rPr>
          <w:rFonts w:hint="eastAsia"/>
        </w:rPr>
        <w:t>18</w:t>
      </w:r>
      <w:r>
        <w:t>.</w:t>
      </w:r>
      <w:r>
        <w:rPr>
          <w:rFonts w:hint="eastAsia"/>
        </w:rPr>
        <w:t>9</w:t>
      </w:r>
      <w:r>
        <w:t>%</w:t>
      </w:r>
      <w:r>
        <w:t>，实现营收</w:t>
      </w:r>
      <w:r>
        <w:rPr>
          <w:rFonts w:hint="eastAsia"/>
        </w:rPr>
        <w:t>104</w:t>
      </w:r>
      <w:r>
        <w:t>.</w:t>
      </w:r>
      <w:r>
        <w:rPr>
          <w:rFonts w:hint="eastAsia"/>
        </w:rPr>
        <w:t>31</w:t>
      </w:r>
      <w:r>
        <w:t>亿元，同比增长</w:t>
      </w:r>
      <w:r>
        <w:rPr>
          <w:rFonts w:hint="eastAsia"/>
        </w:rPr>
        <w:t>34</w:t>
      </w:r>
      <w:r>
        <w:t>.</w:t>
      </w:r>
      <w:r>
        <w:rPr>
          <w:rFonts w:hint="eastAsia"/>
        </w:rPr>
        <w:t>6</w:t>
      </w:r>
      <w:r>
        <w:t>%</w:t>
      </w:r>
      <w:r>
        <w:rPr>
          <w:rStyle w:val="affe"/>
        </w:rPr>
        <w:footnoteReference w:id="65"/>
      </w:r>
      <w:r>
        <w:t>；</w:t>
      </w:r>
      <w:r>
        <w:t>2023</w:t>
      </w:r>
      <w:r>
        <w:t>年网</w:t>
      </w:r>
      <w:proofErr w:type="gramStart"/>
      <w:r>
        <w:t>易云音乐</w:t>
      </w:r>
      <w:proofErr w:type="gramEnd"/>
      <w:r>
        <w:t>在线音乐服务的月付费用户数达</w:t>
      </w:r>
      <w:r>
        <w:t>4412</w:t>
      </w:r>
      <w:r>
        <w:t>万，同比增长</w:t>
      </w:r>
      <w:r>
        <w:t>15.3%</w:t>
      </w:r>
      <w:r>
        <w:t>，实现营收</w:t>
      </w:r>
      <w:r>
        <w:t>43.51</w:t>
      </w:r>
      <w:r>
        <w:t>亿元，同比增长</w:t>
      </w:r>
      <w:r>
        <w:t>17.6%</w:t>
      </w:r>
      <w:r>
        <w:rPr>
          <w:rStyle w:val="affe"/>
        </w:rPr>
        <w:footnoteReference w:id="66"/>
      </w:r>
      <w:r>
        <w:t>。随着网络音乐版权秩序和运营生态的持续优化，用户付费意识逐步增强并养成付费习惯，推动我国网络音乐市场保持着稳健增长势头。</w:t>
      </w:r>
    </w:p>
    <w:p w14:paraId="06AA11DE" w14:textId="77777777" w:rsidR="008810A2" w:rsidRDefault="00D921E0">
      <w:pPr>
        <w:ind w:firstLine="422"/>
      </w:pPr>
      <w:r>
        <w:rPr>
          <w:b/>
          <w:bCs/>
        </w:rPr>
        <w:t>二是平台服务水平显著提升。</w:t>
      </w:r>
      <w:r>
        <w:t>网络音乐平台借助人工智能技术提供个性化服务，有效提升用户体验。</w:t>
      </w:r>
      <w:r>
        <w:rPr>
          <w:b/>
          <w:bCs/>
        </w:rPr>
        <w:t>一方面，通过个性化歌曲推荐优化用户听歌体验</w:t>
      </w:r>
      <w:r>
        <w:t>。例如，</w:t>
      </w:r>
      <w:r>
        <w:t>QQ</w:t>
      </w:r>
      <w:r>
        <w:t>音乐的</w:t>
      </w:r>
      <w:r>
        <w:rPr>
          <w:rFonts w:ascii="宋体" w:hAnsi="宋体"/>
        </w:rPr>
        <w:t>“</w:t>
      </w:r>
      <w:r>
        <w:t>AI</w:t>
      </w:r>
      <w:r>
        <w:t>助手</w:t>
      </w:r>
      <w:r>
        <w:rPr>
          <w:rFonts w:ascii="宋体" w:hAnsi="宋体"/>
        </w:rPr>
        <w:t>”</w:t>
      </w:r>
      <w:r>
        <w:t>能够满足用户</w:t>
      </w:r>
      <w:proofErr w:type="gramStart"/>
      <w:r>
        <w:t>多维度找歌</w:t>
      </w:r>
      <w:proofErr w:type="gramEnd"/>
      <w:r>
        <w:t>需求，有效提升用户找歌效率。</w:t>
      </w:r>
      <w:r>
        <w:rPr>
          <w:b/>
          <w:bCs/>
        </w:rPr>
        <w:t>另一方面，通过创作辅助提供</w:t>
      </w:r>
      <w:r>
        <w:rPr>
          <w:b/>
          <w:bCs/>
        </w:rPr>
        <w:lastRenderedPageBreak/>
        <w:t>个性化音乐创作体验</w:t>
      </w:r>
      <w:r>
        <w:t>。例如，</w:t>
      </w:r>
      <w:r>
        <w:t>QQ</w:t>
      </w:r>
      <w:r>
        <w:t>音乐上线的</w:t>
      </w:r>
      <w:r>
        <w:rPr>
          <w:rFonts w:ascii="宋体" w:hAnsi="宋体"/>
        </w:rPr>
        <w:t>“</w:t>
      </w:r>
      <w:r>
        <w:t>启明星</w:t>
      </w:r>
      <w:r>
        <w:t>·AI</w:t>
      </w:r>
      <w:r>
        <w:t>灵感做歌</w:t>
      </w:r>
      <w:r>
        <w:rPr>
          <w:rFonts w:ascii="宋体" w:hAnsi="宋体"/>
        </w:rPr>
        <w:t>”</w:t>
      </w:r>
      <w:r>
        <w:t>功能，根据用户输入的灵感词便可创作生成专属歌曲；网</w:t>
      </w:r>
      <w:proofErr w:type="gramStart"/>
      <w:r>
        <w:t>易云音乐</w:t>
      </w:r>
      <w:proofErr w:type="gramEnd"/>
      <w:r>
        <w:t>推出的</w:t>
      </w:r>
      <w:proofErr w:type="gramStart"/>
      <w:r>
        <w:t>网易天音</w:t>
      </w:r>
      <w:proofErr w:type="gramEnd"/>
      <w:r>
        <w:t>平台，具备音乐创作全流程</w:t>
      </w:r>
      <w:r>
        <w:t>AI</w:t>
      </w:r>
      <w:r>
        <w:t>辅助功能，使得音乐创作更加简单高效。</w:t>
      </w:r>
    </w:p>
    <w:p w14:paraId="457C1337" w14:textId="77777777" w:rsidR="008810A2" w:rsidRDefault="00D921E0">
      <w:pPr>
        <w:keepLines/>
        <w:numPr>
          <w:ilvl w:val="0"/>
          <w:numId w:val="13"/>
        </w:numPr>
        <w:topLinePunct/>
        <w:snapToGrid w:val="0"/>
        <w:spacing w:before="320" w:after="200"/>
        <w:ind w:firstLineChars="0"/>
        <w:outlineLvl w:val="2"/>
        <w:rPr>
          <w:rFonts w:eastAsia="楷体_GB2312"/>
          <w:color w:val="000000" w:themeColor="text1"/>
          <w:sz w:val="30"/>
          <w:szCs w:val="30"/>
        </w:rPr>
      </w:pPr>
      <w:bookmarkStart w:id="265" w:name="_Toc175065724"/>
      <w:r>
        <w:rPr>
          <w:rFonts w:eastAsia="楷体_GB2312"/>
          <w:color w:val="000000" w:themeColor="text1"/>
          <w:sz w:val="30"/>
          <w:szCs w:val="30"/>
        </w:rPr>
        <w:t>网络文学</w:t>
      </w:r>
      <w:bookmarkEnd w:id="265"/>
    </w:p>
    <w:p w14:paraId="43FA0D35" w14:textId="77777777" w:rsidR="008810A2" w:rsidRDefault="00D921E0">
      <w:pPr>
        <w:ind w:firstLine="420"/>
        <w:rPr>
          <w:szCs w:val="21"/>
        </w:rPr>
      </w:pPr>
      <w:r>
        <w:rPr>
          <w:szCs w:val="21"/>
        </w:rPr>
        <w:t>截至</w:t>
      </w:r>
      <w:r>
        <w:rPr>
          <w:szCs w:val="21"/>
        </w:rPr>
        <w:t>2024</w:t>
      </w:r>
      <w:r>
        <w:rPr>
          <w:szCs w:val="21"/>
        </w:rPr>
        <w:t>年</w:t>
      </w:r>
      <w:r>
        <w:rPr>
          <w:szCs w:val="21"/>
        </w:rPr>
        <w:t>6</w:t>
      </w:r>
      <w:r>
        <w:rPr>
          <w:szCs w:val="21"/>
        </w:rPr>
        <w:t>月，我国网络文学用户规模达</w:t>
      </w:r>
      <w:r>
        <w:rPr>
          <w:szCs w:val="21"/>
        </w:rPr>
        <w:t>5.16</w:t>
      </w:r>
      <w:r>
        <w:rPr>
          <w:szCs w:val="21"/>
        </w:rPr>
        <w:t>亿人，占网民整体的</w:t>
      </w:r>
      <w:r>
        <w:rPr>
          <w:szCs w:val="21"/>
        </w:rPr>
        <w:t>46.9%</w:t>
      </w:r>
      <w:r>
        <w:rPr>
          <w:szCs w:val="21"/>
        </w:rPr>
        <w:t>。</w:t>
      </w:r>
    </w:p>
    <w:p w14:paraId="6AD97721" w14:textId="77777777" w:rsidR="008810A2" w:rsidRDefault="00D921E0">
      <w:pPr>
        <w:spacing w:beforeLines="50" w:before="156"/>
        <w:ind w:firstLineChars="0" w:firstLine="0"/>
        <w:jc w:val="center"/>
        <w:rPr>
          <w:rFonts w:eastAsia="黑体"/>
          <w:color w:val="000000"/>
          <w:szCs w:val="21"/>
        </w:rPr>
      </w:pPr>
      <w:r>
        <w:rPr>
          <w:rFonts w:eastAsia="仿宋"/>
          <w:noProof/>
          <w:sz w:val="24"/>
          <w:szCs w:val="20"/>
        </w:rPr>
        <w:drawing>
          <wp:inline distT="0" distB="0" distL="0" distR="0" wp14:anchorId="489A841A" wp14:editId="6ACAB455">
            <wp:extent cx="5174615" cy="2876550"/>
            <wp:effectExtent l="0" t="0" r="6985" b="0"/>
            <wp:docPr id="449060283" name="图表 449060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3BC14C4" w14:textId="54CCFFAB" w:rsidR="008810A2" w:rsidRDefault="00D921E0" w:rsidP="002B0D05">
      <w:pPr>
        <w:pStyle w:val="a4"/>
      </w:pPr>
      <w:r>
        <w:rPr>
          <w:rFonts w:hint="eastAsia"/>
        </w:rP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33</w:t>
      </w:r>
      <w:r>
        <w:fldChar w:fldCharType="end"/>
      </w:r>
      <w:r>
        <w:t xml:space="preserve">  2022.6-2024.6</w:t>
      </w:r>
      <w:r>
        <w:t>网络文学用户规模及使用率</w:t>
      </w:r>
    </w:p>
    <w:p w14:paraId="51756CB5" w14:textId="77777777" w:rsidR="008810A2" w:rsidRDefault="00D921E0" w:rsidP="00407C9F">
      <w:pPr>
        <w:ind w:firstLine="420"/>
      </w:pPr>
      <w:r>
        <w:t>2024</w:t>
      </w:r>
      <w:r>
        <w:t>年</w:t>
      </w:r>
      <w:r>
        <w:rPr>
          <w:rFonts w:hint="eastAsia"/>
        </w:rPr>
        <w:t>上半年</w:t>
      </w:r>
      <w:r>
        <w:t>，</w:t>
      </w:r>
      <w:r>
        <w:rPr>
          <w:rFonts w:hint="eastAsia"/>
        </w:rPr>
        <w:t>我国网络文学产业发展态势良好，以网络文学等为代表的网络文艺形态“量增质升”，成为推动文化产业创新发展的重要力量，呈现出</w:t>
      </w:r>
      <w:r>
        <w:t>IP</w:t>
      </w:r>
      <w:r>
        <w:rPr>
          <w:rStyle w:val="affe"/>
        </w:rPr>
        <w:footnoteReference w:id="67"/>
      </w:r>
      <w:r>
        <w:rPr>
          <w:rFonts w:hint="eastAsia"/>
        </w:rPr>
        <w:t>开发市场扩容和创作群体年轻化等特点</w:t>
      </w:r>
      <w:r>
        <w:t>。</w:t>
      </w:r>
    </w:p>
    <w:p w14:paraId="20D83CDD" w14:textId="77777777" w:rsidR="008810A2" w:rsidRDefault="00D921E0">
      <w:pPr>
        <w:ind w:firstLine="422"/>
      </w:pPr>
      <w:r>
        <w:rPr>
          <w:rFonts w:hint="eastAsia"/>
          <w:b/>
          <w:bCs/>
        </w:rPr>
        <w:t>一是</w:t>
      </w:r>
      <w:r>
        <w:rPr>
          <w:b/>
          <w:bCs/>
        </w:rPr>
        <w:t>IP</w:t>
      </w:r>
      <w:r>
        <w:rPr>
          <w:rFonts w:hint="eastAsia"/>
          <w:b/>
          <w:bCs/>
        </w:rPr>
        <w:t>转化提速，为文娱行业提供丰富改编资源。</w:t>
      </w:r>
      <w:r>
        <w:rPr>
          <w:rFonts w:hint="eastAsia"/>
        </w:rPr>
        <w:t>上半年，微短剧行业发展势头迅猛，带动网络文学</w:t>
      </w:r>
      <w:r>
        <w:t>IP</w:t>
      </w:r>
      <w:r>
        <w:rPr>
          <w:rFonts w:hint="eastAsia"/>
        </w:rPr>
        <w:t>开发市场进一步扩容。数据显示，去年年度上新短剧分账票房前十（含并列）的</w:t>
      </w:r>
      <w:r>
        <w:rPr>
          <w:rFonts w:hint="eastAsia"/>
        </w:rPr>
        <w:t>13</w:t>
      </w:r>
      <w:r>
        <w:rPr>
          <w:rFonts w:hint="eastAsia"/>
        </w:rPr>
        <w:t>部作品中，根据网络文学改编的作品达</w:t>
      </w:r>
      <w:r>
        <w:rPr>
          <w:rFonts w:hint="eastAsia"/>
        </w:rPr>
        <w:t>10</w:t>
      </w:r>
      <w:r>
        <w:rPr>
          <w:rFonts w:hint="eastAsia"/>
        </w:rPr>
        <w:t>部</w:t>
      </w:r>
      <w:r>
        <w:rPr>
          <w:rStyle w:val="affe"/>
          <w:szCs w:val="21"/>
        </w:rPr>
        <w:footnoteReference w:id="68"/>
      </w:r>
      <w:r>
        <w:rPr>
          <w:rFonts w:hint="eastAsia"/>
        </w:rPr>
        <w:t>。同时，阅文集团发布“短剧星河孵化计划”，推出百部</w:t>
      </w:r>
      <w:r>
        <w:rPr>
          <w:rFonts w:hint="eastAsia"/>
        </w:rPr>
        <w:t>IP</w:t>
      </w:r>
      <w:r>
        <w:rPr>
          <w:rFonts w:hint="eastAsia"/>
        </w:rPr>
        <w:t>培育计划、亿元创作基金扶持</w:t>
      </w:r>
      <w:proofErr w:type="gramStart"/>
      <w:r>
        <w:rPr>
          <w:rFonts w:hint="eastAsia"/>
        </w:rPr>
        <w:t>及探索</w:t>
      </w:r>
      <w:proofErr w:type="gramEnd"/>
      <w:r>
        <w:rPr>
          <w:rFonts w:hint="eastAsia"/>
        </w:rPr>
        <w:t>互动短剧三大举措，目前已有数部短剧流水过千万</w:t>
      </w:r>
      <w:r>
        <w:rPr>
          <w:rStyle w:val="affe"/>
          <w:szCs w:val="21"/>
        </w:rPr>
        <w:footnoteReference w:id="69"/>
      </w:r>
      <w:r>
        <w:rPr>
          <w:rFonts w:hint="eastAsia"/>
        </w:rPr>
        <w:t>。</w:t>
      </w:r>
    </w:p>
    <w:p w14:paraId="22A3AD59" w14:textId="77777777" w:rsidR="008810A2" w:rsidRDefault="00D921E0">
      <w:pPr>
        <w:ind w:firstLine="422"/>
        <w:rPr>
          <w:szCs w:val="21"/>
        </w:rPr>
      </w:pPr>
      <w:r>
        <w:rPr>
          <w:rFonts w:hint="eastAsia"/>
          <w:b/>
          <w:bCs/>
        </w:rPr>
        <w:lastRenderedPageBreak/>
        <w:t>二是年轻群体</w:t>
      </w:r>
      <w:proofErr w:type="gramStart"/>
      <w:r>
        <w:rPr>
          <w:rFonts w:hint="eastAsia"/>
          <w:b/>
          <w:bCs/>
        </w:rPr>
        <w:t>成创作</w:t>
      </w:r>
      <w:proofErr w:type="gramEnd"/>
      <w:r>
        <w:rPr>
          <w:rFonts w:hint="eastAsia"/>
          <w:b/>
          <w:bCs/>
        </w:rPr>
        <w:t>中坚，银发群体阅读市场增长。</w:t>
      </w:r>
      <w:r>
        <w:rPr>
          <w:rFonts w:hint="eastAsia"/>
        </w:rPr>
        <w:t>上半年，网络文学创作者年轻化趋势持续深入，青年网络作家正逐渐变成创作中坚。数据显示，阅文集团上一年新增作家中</w:t>
      </w:r>
      <w:r>
        <w:rPr>
          <w:rFonts w:hint="eastAsia"/>
        </w:rPr>
        <w:t>60%</w:t>
      </w:r>
      <w:r>
        <w:rPr>
          <w:rFonts w:hint="eastAsia"/>
        </w:rPr>
        <w:t>是</w:t>
      </w:r>
      <w:r>
        <w:rPr>
          <w:rFonts w:hint="eastAsia"/>
        </w:rPr>
        <w:t>00</w:t>
      </w:r>
      <w:r>
        <w:rPr>
          <w:rFonts w:hint="eastAsia"/>
        </w:rPr>
        <w:t>后；字节跳动旗下番茄小说新签约作者中</w:t>
      </w:r>
      <w:r>
        <w:rPr>
          <w:rFonts w:hint="eastAsia"/>
        </w:rPr>
        <w:t>57%</w:t>
      </w:r>
      <w:r>
        <w:rPr>
          <w:rFonts w:hint="eastAsia"/>
        </w:rPr>
        <w:t>为</w:t>
      </w:r>
      <w:r>
        <w:rPr>
          <w:rFonts w:hint="eastAsia"/>
        </w:rPr>
        <w:t>95</w:t>
      </w:r>
      <w:r>
        <w:rPr>
          <w:rFonts w:hint="eastAsia"/>
        </w:rPr>
        <w:t>后，</w:t>
      </w:r>
      <w:r>
        <w:rPr>
          <w:rFonts w:hint="eastAsia"/>
        </w:rPr>
        <w:t>26%</w:t>
      </w:r>
      <w:r>
        <w:rPr>
          <w:rFonts w:hint="eastAsia"/>
        </w:rPr>
        <w:t>为</w:t>
      </w:r>
      <w:r>
        <w:rPr>
          <w:rFonts w:hint="eastAsia"/>
        </w:rPr>
        <w:t>85</w:t>
      </w:r>
      <w:r>
        <w:rPr>
          <w:rFonts w:hint="eastAsia"/>
        </w:rPr>
        <w:t>后，</w:t>
      </w:r>
      <w:r>
        <w:rPr>
          <w:rFonts w:hint="eastAsia"/>
        </w:rPr>
        <w:t>75</w:t>
      </w:r>
      <w:r>
        <w:rPr>
          <w:rFonts w:hint="eastAsia"/>
        </w:rPr>
        <w:t>后则只占</w:t>
      </w:r>
      <w:r>
        <w:rPr>
          <w:rFonts w:hint="eastAsia"/>
        </w:rPr>
        <w:t>9%</w:t>
      </w:r>
      <w:r>
        <w:rPr>
          <w:rStyle w:val="affe"/>
        </w:rPr>
        <w:footnoteReference w:id="70"/>
      </w:r>
      <w:r>
        <w:rPr>
          <w:rFonts w:hint="eastAsia"/>
        </w:rPr>
        <w:t>。同时，网络阅读用户群体中，银发群体阅读市场呈现出较大的发展潜力。数据显示，</w:t>
      </w:r>
      <w:r>
        <w:rPr>
          <w:rFonts w:hint="eastAsia"/>
        </w:rPr>
        <w:t>2023</w:t>
      </w:r>
      <w:r>
        <w:rPr>
          <w:rFonts w:hint="eastAsia"/>
        </w:rPr>
        <w:t>年</w:t>
      </w:r>
      <w:r>
        <w:rPr>
          <w:rFonts w:hint="eastAsia"/>
        </w:rPr>
        <w:t>60</w:t>
      </w:r>
      <w:r>
        <w:rPr>
          <w:rFonts w:hint="eastAsia"/>
        </w:rPr>
        <w:t>岁及以上用户占比由</w:t>
      </w:r>
      <w:r>
        <w:rPr>
          <w:rFonts w:hint="eastAsia"/>
        </w:rPr>
        <w:t>2022</w:t>
      </w:r>
      <w:r>
        <w:rPr>
          <w:rFonts w:hint="eastAsia"/>
        </w:rPr>
        <w:t>年的</w:t>
      </w:r>
      <w:r>
        <w:rPr>
          <w:rFonts w:hint="eastAsia"/>
        </w:rPr>
        <w:t>2.74%</w:t>
      </w:r>
      <w:r>
        <w:rPr>
          <w:rFonts w:hint="eastAsia"/>
        </w:rPr>
        <w:t>增长到</w:t>
      </w:r>
      <w:r>
        <w:rPr>
          <w:rFonts w:hint="eastAsia"/>
        </w:rPr>
        <w:t>4.20%</w:t>
      </w:r>
      <w:r>
        <w:rPr>
          <w:rStyle w:val="affe"/>
        </w:rPr>
        <w:footnoteReference w:id="71"/>
      </w:r>
      <w:r>
        <w:rPr>
          <w:rFonts w:hint="eastAsia"/>
        </w:rPr>
        <w:t>。</w:t>
      </w:r>
    </w:p>
    <w:p w14:paraId="7C3DF89C" w14:textId="77777777" w:rsidR="008810A2" w:rsidRDefault="00D921E0">
      <w:pPr>
        <w:pStyle w:val="2"/>
        <w:numPr>
          <w:ilvl w:val="0"/>
          <w:numId w:val="10"/>
        </w:numPr>
        <w:spacing w:before="400" w:after="300" w:line="312" w:lineRule="auto"/>
        <w:ind w:left="0" w:firstLine="0"/>
        <w:rPr>
          <w:rFonts w:eastAsia="黑体"/>
          <w:color w:val="000000" w:themeColor="text1"/>
          <w:sz w:val="36"/>
          <w:szCs w:val="36"/>
        </w:rPr>
      </w:pPr>
      <w:bookmarkStart w:id="266" w:name="_Toc78288102"/>
      <w:bookmarkStart w:id="267" w:name="_Toc175065725"/>
      <w:bookmarkEnd w:id="263"/>
      <w:bookmarkEnd w:id="264"/>
      <w:r>
        <w:rPr>
          <w:rFonts w:eastAsia="黑体"/>
          <w:color w:val="000000" w:themeColor="text1"/>
          <w:sz w:val="36"/>
          <w:szCs w:val="36"/>
        </w:rPr>
        <w:t>公共服务类应用</w:t>
      </w:r>
      <w:bookmarkEnd w:id="266"/>
      <w:bookmarkEnd w:id="267"/>
    </w:p>
    <w:p w14:paraId="70776B3C" w14:textId="77777777" w:rsidR="008810A2" w:rsidRDefault="00D921E0">
      <w:pPr>
        <w:keepLines/>
        <w:numPr>
          <w:ilvl w:val="0"/>
          <w:numId w:val="14"/>
        </w:numPr>
        <w:topLinePunct/>
        <w:snapToGrid w:val="0"/>
        <w:spacing w:before="320" w:after="200"/>
        <w:ind w:firstLineChars="0"/>
        <w:outlineLvl w:val="2"/>
        <w:rPr>
          <w:rFonts w:eastAsia="楷体_GB2312"/>
          <w:color w:val="000000" w:themeColor="text1"/>
          <w:sz w:val="30"/>
          <w:szCs w:val="30"/>
        </w:rPr>
      </w:pPr>
      <w:bookmarkStart w:id="268" w:name="_Toc175065726"/>
      <w:bookmarkStart w:id="269" w:name="_Toc140143172"/>
      <w:bookmarkStart w:id="270" w:name="_Toc2650"/>
      <w:bookmarkStart w:id="271" w:name="_Toc29091"/>
      <w:bookmarkStart w:id="272" w:name="_Toc12141"/>
      <w:bookmarkStart w:id="273" w:name="_Toc125990652"/>
      <w:bookmarkStart w:id="274" w:name="_Toc78288103"/>
      <w:bookmarkStart w:id="275" w:name="_Toc9696"/>
      <w:bookmarkStart w:id="276" w:name="_Toc13251"/>
      <w:bookmarkStart w:id="277" w:name="_Toc139464264"/>
      <w:r>
        <w:rPr>
          <w:rFonts w:eastAsia="楷体_GB2312"/>
          <w:color w:val="000000" w:themeColor="text1"/>
          <w:sz w:val="30"/>
          <w:szCs w:val="30"/>
        </w:rPr>
        <w:t>网约车</w:t>
      </w:r>
      <w:bookmarkEnd w:id="268"/>
      <w:bookmarkEnd w:id="269"/>
    </w:p>
    <w:p w14:paraId="3059D2A9" w14:textId="77777777" w:rsidR="008810A2" w:rsidRDefault="00D921E0">
      <w:pPr>
        <w:ind w:firstLine="420"/>
      </w:pPr>
      <w:r>
        <w:rPr>
          <w:szCs w:val="21"/>
        </w:rPr>
        <w:t>截至</w:t>
      </w:r>
      <w:r>
        <w:rPr>
          <w:szCs w:val="21"/>
        </w:rPr>
        <w:t>2024</w:t>
      </w:r>
      <w:r>
        <w:rPr>
          <w:szCs w:val="21"/>
        </w:rPr>
        <w:t>年</w:t>
      </w:r>
      <w:r>
        <w:rPr>
          <w:szCs w:val="21"/>
        </w:rPr>
        <w:t>6</w:t>
      </w:r>
      <w:r>
        <w:rPr>
          <w:szCs w:val="21"/>
        </w:rPr>
        <w:t>月</w:t>
      </w:r>
      <w:r>
        <w:rPr>
          <w:rFonts w:hint="eastAsia"/>
        </w:rPr>
        <w:t>，</w:t>
      </w:r>
      <w:proofErr w:type="gramStart"/>
      <w:r>
        <w:rPr>
          <w:rFonts w:hint="eastAsia"/>
        </w:rPr>
        <w:t>我国网约车</w:t>
      </w:r>
      <w:proofErr w:type="gramEnd"/>
      <w:r>
        <w:rPr>
          <w:rFonts w:hint="eastAsia"/>
        </w:rPr>
        <w:t>用户规模达</w:t>
      </w:r>
      <w:r>
        <w:rPr>
          <w:rFonts w:hint="eastAsia"/>
        </w:rPr>
        <w:t>5.03</w:t>
      </w:r>
      <w:r>
        <w:rPr>
          <w:rFonts w:hint="eastAsia"/>
        </w:rPr>
        <w:t>亿人，占网民整体的</w:t>
      </w:r>
      <w:r>
        <w:rPr>
          <w:rFonts w:hint="eastAsia"/>
        </w:rPr>
        <w:t>45.7%</w:t>
      </w:r>
      <w:r>
        <w:rPr>
          <w:rFonts w:hint="eastAsia"/>
        </w:rPr>
        <w:t>。</w:t>
      </w:r>
    </w:p>
    <w:p w14:paraId="00F36C99" w14:textId="77777777" w:rsidR="008810A2" w:rsidRDefault="00D921E0">
      <w:pPr>
        <w:ind w:firstLineChars="0" w:firstLine="0"/>
        <w:jc w:val="center"/>
      </w:pPr>
      <w:r>
        <w:rPr>
          <w:rFonts w:eastAsia="仿宋"/>
          <w:noProof/>
          <w:sz w:val="24"/>
          <w:szCs w:val="20"/>
        </w:rPr>
        <w:drawing>
          <wp:inline distT="0" distB="0" distL="0" distR="0" wp14:anchorId="7D750761" wp14:editId="0DA900AA">
            <wp:extent cx="5067935" cy="2876550"/>
            <wp:effectExtent l="4445" t="4445" r="17780" b="14605"/>
            <wp:docPr id="1955632171" name="图表 1955632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99DCD6" w14:textId="5DA470CD"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34</w:t>
      </w:r>
      <w:r>
        <w:fldChar w:fldCharType="end"/>
      </w:r>
      <w:r>
        <w:t xml:space="preserve">  202</w:t>
      </w:r>
      <w:r>
        <w:rPr>
          <w:rFonts w:hint="eastAsia"/>
        </w:rPr>
        <w:t>2</w:t>
      </w:r>
      <w:r>
        <w:t>.</w:t>
      </w:r>
      <w:r>
        <w:rPr>
          <w:rFonts w:hint="eastAsia"/>
        </w:rPr>
        <w:t>6</w:t>
      </w:r>
      <w:r>
        <w:t>-202</w:t>
      </w:r>
      <w:r>
        <w:rPr>
          <w:rFonts w:hint="eastAsia"/>
        </w:rPr>
        <w:t>4</w:t>
      </w:r>
      <w:r>
        <w:t>.</w:t>
      </w:r>
      <w:r>
        <w:rPr>
          <w:rFonts w:hint="eastAsia"/>
        </w:rPr>
        <w:t>6</w:t>
      </w:r>
      <w:proofErr w:type="gramStart"/>
      <w:r>
        <w:rPr>
          <w:rFonts w:hint="eastAsia"/>
        </w:rPr>
        <w:t>网约车</w:t>
      </w:r>
      <w:r>
        <w:t>用户</w:t>
      </w:r>
      <w:proofErr w:type="gramEnd"/>
      <w:r>
        <w:t>规模及使用率</w:t>
      </w:r>
    </w:p>
    <w:p w14:paraId="4AB9BA83" w14:textId="77777777" w:rsidR="008810A2" w:rsidRDefault="00D921E0">
      <w:pPr>
        <w:ind w:firstLine="420"/>
      </w:pPr>
      <w:r>
        <w:rPr>
          <w:rFonts w:hint="eastAsia"/>
        </w:rPr>
        <w:t>202</w:t>
      </w:r>
      <w:r>
        <w:t>4</w:t>
      </w:r>
      <w:r>
        <w:rPr>
          <w:rFonts w:hint="eastAsia"/>
        </w:rPr>
        <w:t>年上半年，</w:t>
      </w:r>
      <w:proofErr w:type="gramStart"/>
      <w:r>
        <w:rPr>
          <w:rFonts w:hint="eastAsia"/>
        </w:rPr>
        <w:t>网约车行业</w:t>
      </w:r>
      <w:proofErr w:type="gramEnd"/>
      <w:r>
        <w:rPr>
          <w:rFonts w:hint="eastAsia"/>
        </w:rPr>
        <w:t>合</w:t>
      </w:r>
      <w:proofErr w:type="gramStart"/>
      <w:r>
        <w:rPr>
          <w:rFonts w:hint="eastAsia"/>
        </w:rPr>
        <w:t>规化</w:t>
      </w:r>
      <w:proofErr w:type="gramEnd"/>
      <w:r>
        <w:rPr>
          <w:rFonts w:hint="eastAsia"/>
        </w:rPr>
        <w:t>持续</w:t>
      </w:r>
      <w:r>
        <w:t>增强</w:t>
      </w:r>
      <w:r>
        <w:rPr>
          <w:rFonts w:hint="eastAsia"/>
        </w:rPr>
        <w:t>，</w:t>
      </w:r>
      <w:proofErr w:type="gramStart"/>
      <w:r>
        <w:rPr>
          <w:rFonts w:hint="eastAsia"/>
        </w:rPr>
        <w:t>网约车平台</w:t>
      </w:r>
      <w:proofErr w:type="gramEnd"/>
      <w:r>
        <w:t>企业</w:t>
      </w:r>
      <w:r>
        <w:rPr>
          <w:rFonts w:hint="eastAsia"/>
        </w:rPr>
        <w:t>业绩保持增长。我国启动智能网联汽车“车路云一体化”应用试点，</w:t>
      </w:r>
      <w:r>
        <w:rPr>
          <w:rFonts w:hint="eastAsia"/>
          <w:bCs/>
          <w:color w:val="000000" w:themeColor="text1"/>
        </w:rPr>
        <w:t>自动驾驶技术的</w:t>
      </w:r>
      <w:r>
        <w:rPr>
          <w:bCs/>
          <w:color w:val="000000" w:themeColor="text1"/>
        </w:rPr>
        <w:t>商业化</w:t>
      </w:r>
      <w:r>
        <w:rPr>
          <w:rFonts w:hint="eastAsia"/>
          <w:bCs/>
          <w:color w:val="000000" w:themeColor="text1"/>
        </w:rPr>
        <w:t>进程积极开展</w:t>
      </w:r>
      <w:r>
        <w:t>。</w:t>
      </w:r>
    </w:p>
    <w:p w14:paraId="5234FE7B" w14:textId="77777777" w:rsidR="008810A2" w:rsidRDefault="00D921E0">
      <w:pPr>
        <w:ind w:firstLine="422"/>
      </w:pPr>
      <w:r>
        <w:rPr>
          <w:rFonts w:hint="eastAsia"/>
          <w:b/>
        </w:rPr>
        <w:t>一是</w:t>
      </w:r>
      <w:proofErr w:type="gramStart"/>
      <w:r>
        <w:rPr>
          <w:rFonts w:hint="eastAsia"/>
          <w:b/>
        </w:rPr>
        <w:t>网约车行业</w:t>
      </w:r>
      <w:proofErr w:type="gramEnd"/>
      <w:r>
        <w:rPr>
          <w:rFonts w:hint="eastAsia"/>
          <w:b/>
        </w:rPr>
        <w:t>实现稳健发展。</w:t>
      </w:r>
      <w:proofErr w:type="gramStart"/>
      <w:r>
        <w:rPr>
          <w:rFonts w:hint="eastAsia"/>
        </w:rPr>
        <w:t>网约车合规化</w:t>
      </w:r>
      <w:proofErr w:type="gramEnd"/>
      <w:r>
        <w:rPr>
          <w:rFonts w:hint="eastAsia"/>
        </w:rPr>
        <w:t>水平不断</w:t>
      </w:r>
      <w:r>
        <w:t>提升</w:t>
      </w:r>
      <w:r>
        <w:rPr>
          <w:rFonts w:hint="eastAsia"/>
        </w:rPr>
        <w:t>。根据</w:t>
      </w:r>
      <w:proofErr w:type="gramStart"/>
      <w:r>
        <w:rPr>
          <w:rFonts w:hint="eastAsia"/>
        </w:rPr>
        <w:t>网约车监管</w:t>
      </w:r>
      <w:proofErr w:type="gramEnd"/>
      <w:r>
        <w:rPr>
          <w:rFonts w:hint="eastAsia"/>
        </w:rPr>
        <w:t>信息交互系统统计，截至</w:t>
      </w:r>
      <w:r>
        <w:rPr>
          <w:rFonts w:hint="eastAsia"/>
        </w:rPr>
        <w:t>2024</w:t>
      </w:r>
      <w:r>
        <w:rPr>
          <w:rFonts w:hint="eastAsia"/>
        </w:rPr>
        <w:t>年</w:t>
      </w:r>
      <w:r>
        <w:rPr>
          <w:rFonts w:hint="eastAsia"/>
        </w:rPr>
        <w:t>6</w:t>
      </w:r>
      <w:r>
        <w:rPr>
          <w:rFonts w:hint="eastAsia"/>
        </w:rPr>
        <w:t>月</w:t>
      </w:r>
      <w:r>
        <w:rPr>
          <w:rFonts w:hint="eastAsia"/>
        </w:rPr>
        <w:t>30</w:t>
      </w:r>
      <w:r>
        <w:rPr>
          <w:rFonts w:hint="eastAsia"/>
        </w:rPr>
        <w:t>日，全国共有</w:t>
      </w:r>
      <w:r>
        <w:rPr>
          <w:rFonts w:hint="eastAsia"/>
        </w:rPr>
        <w:t>354</w:t>
      </w:r>
      <w:r>
        <w:rPr>
          <w:rFonts w:hint="eastAsia"/>
        </w:rPr>
        <w:t>家</w:t>
      </w:r>
      <w:proofErr w:type="gramStart"/>
      <w:r>
        <w:rPr>
          <w:rFonts w:hint="eastAsia"/>
        </w:rPr>
        <w:t>网约车平台</w:t>
      </w:r>
      <w:proofErr w:type="gramEnd"/>
      <w:r>
        <w:rPr>
          <w:rFonts w:hint="eastAsia"/>
        </w:rPr>
        <w:t>公司</w:t>
      </w:r>
      <w:proofErr w:type="gramStart"/>
      <w:r>
        <w:rPr>
          <w:rFonts w:hint="eastAsia"/>
        </w:rPr>
        <w:t>取得网约车</w:t>
      </w:r>
      <w:proofErr w:type="gramEnd"/>
      <w:r>
        <w:rPr>
          <w:rFonts w:hint="eastAsia"/>
        </w:rPr>
        <w:t>平台经</w:t>
      </w:r>
      <w:r>
        <w:rPr>
          <w:rFonts w:hint="eastAsia"/>
        </w:rPr>
        <w:lastRenderedPageBreak/>
        <w:t>营许可；各地共发</w:t>
      </w:r>
      <w:proofErr w:type="gramStart"/>
      <w:r>
        <w:rPr>
          <w:rFonts w:hint="eastAsia"/>
        </w:rPr>
        <w:t>放网约车驾驶员</w:t>
      </w:r>
      <w:proofErr w:type="gramEnd"/>
      <w:r>
        <w:rPr>
          <w:rFonts w:hint="eastAsia"/>
        </w:rPr>
        <w:t>证</w:t>
      </w:r>
      <w:r>
        <w:rPr>
          <w:rFonts w:hint="eastAsia"/>
        </w:rPr>
        <w:t>712.6</w:t>
      </w:r>
      <w:r>
        <w:rPr>
          <w:rFonts w:hint="eastAsia"/>
        </w:rPr>
        <w:t>万本、运输证</w:t>
      </w:r>
      <w:r>
        <w:rPr>
          <w:rFonts w:hint="eastAsia"/>
        </w:rPr>
        <w:t>301.5</w:t>
      </w:r>
      <w:r>
        <w:rPr>
          <w:rFonts w:hint="eastAsia"/>
        </w:rPr>
        <w:t>万本</w:t>
      </w:r>
      <w:r>
        <w:rPr>
          <w:rStyle w:val="affe"/>
        </w:rPr>
        <w:footnoteReference w:id="72"/>
      </w:r>
      <w:r>
        <w:rPr>
          <w:rFonts w:hint="eastAsia"/>
        </w:rPr>
        <w:t>。</w:t>
      </w:r>
      <w:proofErr w:type="gramStart"/>
      <w:r>
        <w:rPr>
          <w:rFonts w:hint="eastAsia"/>
        </w:rPr>
        <w:t>网约车平台</w:t>
      </w:r>
      <w:proofErr w:type="gramEnd"/>
      <w:r>
        <w:rPr>
          <w:rFonts w:hint="eastAsia"/>
        </w:rPr>
        <w:t>企业业绩</w:t>
      </w:r>
      <w:r>
        <w:t>实现</w:t>
      </w:r>
      <w:r>
        <w:rPr>
          <w:rFonts w:hint="eastAsia"/>
        </w:rPr>
        <w:t>持续增长。第一季度，滴滴实现总收入</w:t>
      </w:r>
      <w:r>
        <w:rPr>
          <w:rFonts w:hint="eastAsia"/>
        </w:rPr>
        <w:t>491</w:t>
      </w:r>
      <w:r>
        <w:rPr>
          <w:rFonts w:hint="eastAsia"/>
        </w:rPr>
        <w:t>亿元，同比增长</w:t>
      </w:r>
      <w:r>
        <w:rPr>
          <w:rFonts w:hint="eastAsia"/>
        </w:rPr>
        <w:t>14.9%</w:t>
      </w:r>
      <w:r>
        <w:rPr>
          <w:rStyle w:val="affe"/>
        </w:rPr>
        <w:footnoteReference w:id="73"/>
      </w:r>
      <w:r>
        <w:rPr>
          <w:rFonts w:hint="eastAsia"/>
        </w:rPr>
        <w:t>。滴滴对主营业务持续深耕，国内和国际市场单</w:t>
      </w:r>
      <w:proofErr w:type="gramStart"/>
      <w:r>
        <w:rPr>
          <w:rFonts w:hint="eastAsia"/>
        </w:rPr>
        <w:t>量规模双双</w:t>
      </w:r>
      <w:proofErr w:type="gramEnd"/>
      <w:r>
        <w:rPr>
          <w:rFonts w:hint="eastAsia"/>
        </w:rPr>
        <w:t>突破历史季度峰值。</w:t>
      </w:r>
    </w:p>
    <w:p w14:paraId="56139065" w14:textId="77777777" w:rsidR="008810A2" w:rsidRDefault="00D921E0">
      <w:pPr>
        <w:ind w:firstLine="422"/>
        <w:rPr>
          <w:bCs/>
        </w:rPr>
      </w:pPr>
      <w:r>
        <w:rPr>
          <w:rFonts w:hint="eastAsia"/>
          <w:b/>
        </w:rPr>
        <w:t>二是自动驾驶商业化运营积极推进。</w:t>
      </w:r>
      <w:r>
        <w:rPr>
          <w:rFonts w:hint="eastAsia"/>
        </w:rPr>
        <w:t>2024</w:t>
      </w:r>
      <w:r>
        <w:rPr>
          <w:rFonts w:hint="eastAsia"/>
        </w:rPr>
        <w:t>年</w:t>
      </w:r>
      <w:r>
        <w:rPr>
          <w:rFonts w:hint="eastAsia"/>
        </w:rPr>
        <w:t>1</w:t>
      </w:r>
      <w:r>
        <w:rPr>
          <w:rFonts w:hint="eastAsia"/>
        </w:rPr>
        <w:t>月</w:t>
      </w:r>
      <w:r>
        <w:t>，</w:t>
      </w:r>
      <w:r>
        <w:rPr>
          <w:rFonts w:hint="eastAsia"/>
          <w:bCs/>
        </w:rPr>
        <w:t>工业和信息部等五部门发布《关于开展智能网联汽车“车路云一体化”应用试点工作的通知》，提出建设智能化路侧基础设施、开展规模化示范应用等</w:t>
      </w:r>
      <w:r>
        <w:rPr>
          <w:rFonts w:hint="eastAsia"/>
          <w:bCs/>
        </w:rPr>
        <w:t>9</w:t>
      </w:r>
      <w:r>
        <w:rPr>
          <w:rFonts w:hint="eastAsia"/>
          <w:bCs/>
        </w:rPr>
        <w:t>项试点内容。</w:t>
      </w:r>
      <w:r>
        <w:rPr>
          <w:rFonts w:hint="eastAsia"/>
          <w:bCs/>
        </w:rPr>
        <w:t>4</w:t>
      </w:r>
      <w:r>
        <w:rPr>
          <w:rFonts w:hint="eastAsia"/>
          <w:bCs/>
        </w:rPr>
        <w:t>月</w:t>
      </w:r>
      <w:r>
        <w:rPr>
          <w:bCs/>
        </w:rPr>
        <w:t>，</w:t>
      </w:r>
      <w:r>
        <w:rPr>
          <w:bCs/>
          <w:color w:val="000000" w:themeColor="text1"/>
        </w:rPr>
        <w:t>滴滴自动驾驶与</w:t>
      </w:r>
      <w:proofErr w:type="gramStart"/>
      <w:r>
        <w:rPr>
          <w:bCs/>
          <w:color w:val="000000" w:themeColor="text1"/>
        </w:rPr>
        <w:t>广汽埃安</w:t>
      </w:r>
      <w:proofErr w:type="gramEnd"/>
      <w:r>
        <w:rPr>
          <w:bCs/>
          <w:color w:val="000000" w:themeColor="text1"/>
        </w:rPr>
        <w:t>宣布</w:t>
      </w:r>
      <w:r>
        <w:rPr>
          <w:rFonts w:hint="eastAsia"/>
          <w:bCs/>
          <w:color w:val="000000" w:themeColor="text1"/>
        </w:rPr>
        <w:t>，</w:t>
      </w:r>
      <w:r>
        <w:rPr>
          <w:bCs/>
          <w:color w:val="000000" w:themeColor="text1"/>
        </w:rPr>
        <w:t>双方合资成立广州安滴科技有限公司</w:t>
      </w:r>
      <w:r>
        <w:rPr>
          <w:rFonts w:hint="eastAsia"/>
          <w:bCs/>
          <w:color w:val="000000" w:themeColor="text1"/>
        </w:rPr>
        <w:t>，</w:t>
      </w:r>
      <w:r>
        <w:rPr>
          <w:bCs/>
          <w:color w:val="000000" w:themeColor="text1"/>
        </w:rPr>
        <w:t>共同推进</w:t>
      </w:r>
      <w:r>
        <w:rPr>
          <w:bCs/>
          <w:color w:val="000000" w:themeColor="text1"/>
        </w:rPr>
        <w:t>L4</w:t>
      </w:r>
      <w:r>
        <w:rPr>
          <w:bCs/>
          <w:color w:val="000000" w:themeColor="text1"/>
        </w:rPr>
        <w:t>级别自动驾驶车型的研发和商业化进程</w:t>
      </w:r>
      <w:r>
        <w:rPr>
          <w:rFonts w:hint="eastAsia"/>
          <w:bCs/>
          <w:color w:val="000000" w:themeColor="text1"/>
        </w:rPr>
        <w:t>。</w:t>
      </w:r>
      <w:r>
        <w:rPr>
          <w:rFonts w:hint="eastAsia"/>
          <w:bCs/>
        </w:rPr>
        <w:t>7</w:t>
      </w:r>
      <w:r>
        <w:rPr>
          <w:rFonts w:hint="eastAsia"/>
          <w:bCs/>
        </w:rPr>
        <w:t>月</w:t>
      </w:r>
      <w:r>
        <w:rPr>
          <w:bCs/>
        </w:rPr>
        <w:t>，</w:t>
      </w:r>
      <w:r>
        <w:rPr>
          <w:rFonts w:hint="eastAsia"/>
          <w:bCs/>
        </w:rPr>
        <w:t>百度旗下萝卜快跑已经于十余个城市开放载人测试运营服务，并且在北京、武汉、重庆、深圳、上海开展全无人自动驾驶出行服务测试。自动驾驶出租车有望进一步提升服务质量和用户体验。</w:t>
      </w:r>
    </w:p>
    <w:p w14:paraId="4797591E" w14:textId="77777777" w:rsidR="008810A2" w:rsidRDefault="00D921E0">
      <w:pPr>
        <w:keepLines/>
        <w:numPr>
          <w:ilvl w:val="0"/>
          <w:numId w:val="14"/>
        </w:numPr>
        <w:topLinePunct/>
        <w:snapToGrid w:val="0"/>
        <w:spacing w:before="320" w:after="200"/>
        <w:ind w:firstLineChars="0"/>
        <w:outlineLvl w:val="2"/>
        <w:rPr>
          <w:rFonts w:eastAsia="楷体_GB2312"/>
          <w:color w:val="000000" w:themeColor="text1"/>
          <w:sz w:val="30"/>
          <w:szCs w:val="30"/>
        </w:rPr>
      </w:pPr>
      <w:bookmarkStart w:id="278" w:name="_Toc140143173"/>
      <w:bookmarkStart w:id="279" w:name="_Toc78288105"/>
      <w:bookmarkStart w:id="280" w:name="_Toc139464265"/>
      <w:bookmarkStart w:id="281" w:name="_Toc175065727"/>
      <w:r>
        <w:rPr>
          <w:rFonts w:eastAsia="楷体_GB2312"/>
          <w:color w:val="000000" w:themeColor="text1"/>
          <w:sz w:val="30"/>
          <w:szCs w:val="30"/>
        </w:rPr>
        <w:t>互联网医疗</w:t>
      </w:r>
      <w:bookmarkEnd w:id="278"/>
      <w:bookmarkEnd w:id="279"/>
      <w:bookmarkEnd w:id="280"/>
      <w:bookmarkEnd w:id="281"/>
    </w:p>
    <w:p w14:paraId="1442B95B" w14:textId="77777777" w:rsidR="008810A2" w:rsidRDefault="00D921E0">
      <w:pPr>
        <w:ind w:firstLine="420"/>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月，我国互联网医疗用户规模达</w:t>
      </w:r>
      <w:r>
        <w:rPr>
          <w:color w:val="000000" w:themeColor="text1"/>
          <w:szCs w:val="21"/>
        </w:rPr>
        <w:t>3.65</w:t>
      </w:r>
      <w:r>
        <w:rPr>
          <w:color w:val="000000" w:themeColor="text1"/>
          <w:szCs w:val="21"/>
        </w:rPr>
        <w:t>亿人，占网民整体的</w:t>
      </w:r>
      <w:r>
        <w:rPr>
          <w:color w:val="000000" w:themeColor="text1"/>
          <w:szCs w:val="21"/>
        </w:rPr>
        <w:t>33.2%</w:t>
      </w:r>
      <w:r>
        <w:rPr>
          <w:color w:val="000000" w:themeColor="text1"/>
          <w:szCs w:val="21"/>
        </w:rPr>
        <w:t>。</w:t>
      </w:r>
    </w:p>
    <w:p w14:paraId="5ECD8949" w14:textId="77777777" w:rsidR="008810A2" w:rsidRDefault="00D921E0">
      <w:pPr>
        <w:keepNext/>
        <w:widowControl/>
        <w:spacing w:beforeLines="50" w:before="156"/>
        <w:ind w:firstLineChars="0" w:firstLine="0"/>
        <w:jc w:val="center"/>
      </w:pPr>
      <w:r>
        <w:rPr>
          <w:rFonts w:eastAsia="仿宋"/>
          <w:noProof/>
          <w:sz w:val="24"/>
          <w:szCs w:val="20"/>
        </w:rPr>
        <w:drawing>
          <wp:inline distT="0" distB="0" distL="0" distR="0" wp14:anchorId="278B26F1" wp14:editId="2061B356">
            <wp:extent cx="4895850" cy="2876550"/>
            <wp:effectExtent l="0" t="0" r="0" b="0"/>
            <wp:docPr id="1487493882" name="图表 1487493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E189C53" w14:textId="4E9855C8" w:rsidR="008810A2" w:rsidRDefault="00D921E0" w:rsidP="002B0D05">
      <w:pPr>
        <w:pStyle w:val="a4"/>
      </w:pPr>
      <w:r>
        <w:rPr>
          <w:rFonts w:hint="eastAsia"/>
        </w:rPr>
        <w:t>图</w:t>
      </w:r>
      <w:r>
        <w:t xml:space="preserve"> </w:t>
      </w:r>
      <w:r>
        <w:fldChar w:fldCharType="begin"/>
      </w:r>
      <w:r>
        <w:instrText xml:space="preserve"> SEQ </w:instrText>
      </w:r>
      <w:r>
        <w:instrText>图</w:instrText>
      </w:r>
      <w:r>
        <w:instrText xml:space="preserve"> \* ARABIC </w:instrText>
      </w:r>
      <w:r>
        <w:fldChar w:fldCharType="separate"/>
      </w:r>
      <w:r w:rsidR="00A057C8">
        <w:rPr>
          <w:noProof/>
        </w:rPr>
        <w:t>35</w:t>
      </w:r>
      <w:r>
        <w:fldChar w:fldCharType="end"/>
      </w:r>
      <w:r>
        <w:t xml:space="preserve">  2022.6-2024.6</w:t>
      </w:r>
      <w:r>
        <w:t>互联网医疗用户规模及使用率</w:t>
      </w:r>
    </w:p>
    <w:p w14:paraId="6131D7B8" w14:textId="77777777" w:rsidR="008810A2" w:rsidRDefault="00D921E0">
      <w:pPr>
        <w:ind w:firstLine="420"/>
      </w:pPr>
      <w:r>
        <w:t>2024</w:t>
      </w:r>
      <w:r>
        <w:t>年</w:t>
      </w:r>
      <w:r>
        <w:rPr>
          <w:rFonts w:hint="eastAsia"/>
        </w:rPr>
        <w:t>上半年</w:t>
      </w:r>
      <w:r>
        <w:t>，</w:t>
      </w:r>
      <w:r>
        <w:rPr>
          <w:rFonts w:hint="eastAsia"/>
        </w:rPr>
        <w:t>我国进一步促进优质医疗资源扩容下沉</w:t>
      </w:r>
      <w:r>
        <w:t>，</w:t>
      </w:r>
      <w:r>
        <w:rPr>
          <w:rFonts w:hint="eastAsia"/>
        </w:rPr>
        <w:t>持续提升基层医疗卫生服务能力。同时，互联网医疗企业积极发挥研发效能，推动行业创新发展。截至</w:t>
      </w:r>
      <w:r>
        <w:rPr>
          <w:rFonts w:hint="eastAsia"/>
        </w:rPr>
        <w:t>2</w:t>
      </w:r>
      <w:r>
        <w:rPr>
          <w:rFonts w:hint="eastAsia"/>
        </w:rPr>
        <w:t>月，</w:t>
      </w:r>
      <w:r>
        <w:rPr>
          <w:rFonts w:hint="eastAsia"/>
        </w:rPr>
        <w:t>30</w:t>
      </w:r>
      <w:r>
        <w:rPr>
          <w:rFonts w:hint="eastAsia"/>
        </w:rPr>
        <w:t>个省</w:t>
      </w:r>
      <w:r>
        <w:rPr>
          <w:rFonts w:hint="eastAsia"/>
        </w:rPr>
        <w:lastRenderedPageBreak/>
        <w:t>份建成省一级互联网医疗监管平台，并在全国批复设置了</w:t>
      </w:r>
      <w:r>
        <w:rPr>
          <w:rFonts w:hint="eastAsia"/>
        </w:rPr>
        <w:t>2700</w:t>
      </w:r>
      <w:r>
        <w:rPr>
          <w:rFonts w:hint="eastAsia"/>
        </w:rPr>
        <w:t>余家互联网医院</w:t>
      </w:r>
      <w:r>
        <w:rPr>
          <w:rStyle w:val="affe"/>
          <w:color w:val="060607"/>
          <w:spacing w:val="4"/>
          <w:szCs w:val="21"/>
        </w:rPr>
        <w:footnoteReference w:id="74"/>
      </w:r>
      <w:r>
        <w:rPr>
          <w:rFonts w:hint="eastAsia"/>
        </w:rPr>
        <w:t>。</w:t>
      </w:r>
    </w:p>
    <w:p w14:paraId="502D9731" w14:textId="77777777" w:rsidR="008810A2" w:rsidRDefault="00D921E0">
      <w:pPr>
        <w:ind w:firstLine="422"/>
      </w:pPr>
      <w:r>
        <w:rPr>
          <w:rFonts w:hint="eastAsia"/>
          <w:b/>
          <w:bCs/>
        </w:rPr>
        <w:t>一是远程医疗技术持续向基层延伸。</w:t>
      </w:r>
      <w:r>
        <w:rPr>
          <w:rFonts w:hint="eastAsia"/>
        </w:rPr>
        <w:t>目前，远程医疗服务网络已覆盖所有市县，并向社区和乡村基层延伸覆盖，全国</w:t>
      </w:r>
      <w:r>
        <w:rPr>
          <w:rFonts w:hint="eastAsia"/>
        </w:rPr>
        <w:t>70%</w:t>
      </w:r>
      <w:r>
        <w:rPr>
          <w:rFonts w:hint="eastAsia"/>
        </w:rPr>
        <w:t>的卫生院已和上级医院建立了远程医疗协作关系；基层机构电子病历规范化水平和诊疗服务质量持续提升，</w:t>
      </w:r>
      <w:r>
        <w:rPr>
          <w:rFonts w:hint="eastAsia"/>
        </w:rPr>
        <w:t>27</w:t>
      </w:r>
      <w:r>
        <w:rPr>
          <w:rFonts w:hint="eastAsia"/>
        </w:rPr>
        <w:t>个试点县的基层机构通过辅助诊疗系统已经提供诊断建议</w:t>
      </w:r>
      <w:r>
        <w:rPr>
          <w:rFonts w:hint="eastAsia"/>
        </w:rPr>
        <w:t>2600</w:t>
      </w:r>
      <w:r>
        <w:rPr>
          <w:rFonts w:hint="eastAsia"/>
        </w:rPr>
        <w:t>余万次</w:t>
      </w:r>
      <w:r>
        <w:rPr>
          <w:rStyle w:val="affe"/>
          <w:color w:val="060607"/>
          <w:spacing w:val="4"/>
          <w:szCs w:val="21"/>
        </w:rPr>
        <w:footnoteReference w:id="75"/>
      </w:r>
      <w:r>
        <w:rPr>
          <w:rFonts w:hint="eastAsia"/>
        </w:rPr>
        <w:t>；县域医学影像、医学检验、心电诊断等资源共享中心的建设不断推进，更好地实现基层检查、上级诊断、结果互认，其中，县域医学影像中心已经覆盖了</w:t>
      </w:r>
      <w:r>
        <w:rPr>
          <w:rFonts w:hint="eastAsia"/>
        </w:rPr>
        <w:t>50%</w:t>
      </w:r>
      <w:r>
        <w:rPr>
          <w:rFonts w:hint="eastAsia"/>
        </w:rPr>
        <w:t>的乡镇卫生院</w:t>
      </w:r>
      <w:r>
        <w:rPr>
          <w:rStyle w:val="affe"/>
          <w:color w:val="060607"/>
          <w:spacing w:val="4"/>
          <w:szCs w:val="21"/>
        </w:rPr>
        <w:footnoteReference w:id="76"/>
      </w:r>
      <w:r>
        <w:rPr>
          <w:rFonts w:hint="eastAsia"/>
        </w:rPr>
        <w:t>。</w:t>
      </w:r>
    </w:p>
    <w:p w14:paraId="000E1B7B" w14:textId="77777777" w:rsidR="008810A2" w:rsidRDefault="00D921E0">
      <w:pPr>
        <w:ind w:firstLine="422"/>
        <w:rPr>
          <w:szCs w:val="21"/>
        </w:rPr>
      </w:pPr>
      <w:r>
        <w:rPr>
          <w:b/>
          <w:bCs/>
        </w:rPr>
        <w:t>二是</w:t>
      </w:r>
      <w:r>
        <w:rPr>
          <w:rFonts w:hint="eastAsia"/>
          <w:b/>
          <w:bCs/>
        </w:rPr>
        <w:t>互联网医疗企业积极布局新技术。</w:t>
      </w:r>
      <w:r>
        <w:rPr>
          <w:rFonts w:hint="eastAsia"/>
        </w:rPr>
        <w:t>数据显示，国内已发布医疗领域生成式人工智能大模型</w:t>
      </w:r>
      <w:proofErr w:type="gramStart"/>
      <w:r>
        <w:rPr>
          <w:rFonts w:hint="eastAsia"/>
        </w:rPr>
        <w:t>数量超</w:t>
      </w:r>
      <w:proofErr w:type="gramEnd"/>
      <w:r>
        <w:rPr>
          <w:rFonts w:hint="eastAsia"/>
        </w:rPr>
        <w:t>30</w:t>
      </w:r>
      <w:r>
        <w:rPr>
          <w:rFonts w:hint="eastAsia"/>
        </w:rPr>
        <w:t>个</w:t>
      </w:r>
      <w:r>
        <w:rPr>
          <w:rStyle w:val="affe"/>
          <w:color w:val="060607"/>
          <w:spacing w:val="4"/>
          <w:szCs w:val="21"/>
        </w:rPr>
        <w:footnoteReference w:id="77"/>
      </w:r>
      <w:r>
        <w:rPr>
          <w:rFonts w:hint="eastAsia"/>
        </w:rPr>
        <w:t>，医疗健康</w:t>
      </w:r>
      <w:r>
        <w:rPr>
          <w:rFonts w:hint="eastAsia"/>
        </w:rPr>
        <w:t>AI</w:t>
      </w:r>
      <w:r>
        <w:rPr>
          <w:rFonts w:hint="eastAsia"/>
        </w:rPr>
        <w:t>大模型的服务对象从制药企业至医生、患者等，到覆盖诊疗、医疗科研、健康管理等多个场景。京东健康互联网医院在技术研发、质量建设、运营管理等领域的投入已累计超</w:t>
      </w:r>
      <w:r>
        <w:rPr>
          <w:rFonts w:hint="eastAsia"/>
        </w:rPr>
        <w:t>20</w:t>
      </w:r>
      <w:r>
        <w:rPr>
          <w:rFonts w:hint="eastAsia"/>
        </w:rPr>
        <w:t>亿元，获得超过</w:t>
      </w:r>
      <w:r>
        <w:rPr>
          <w:rFonts w:hint="eastAsia"/>
        </w:rPr>
        <w:t>800</w:t>
      </w:r>
      <w:r>
        <w:rPr>
          <w:rFonts w:hint="eastAsia"/>
        </w:rPr>
        <w:t>项优质专利，覆盖</w:t>
      </w:r>
      <w:proofErr w:type="gramStart"/>
      <w:r>
        <w:rPr>
          <w:rFonts w:hint="eastAsia"/>
        </w:rPr>
        <w:t>医疗大</w:t>
      </w:r>
      <w:proofErr w:type="gramEnd"/>
      <w:r>
        <w:rPr>
          <w:rFonts w:hint="eastAsia"/>
        </w:rPr>
        <w:t>模型、医学科研、疾病预测等诸多前沿课题领域</w:t>
      </w:r>
      <w:r>
        <w:rPr>
          <w:rStyle w:val="affe"/>
          <w:color w:val="060607"/>
          <w:spacing w:val="4"/>
          <w:szCs w:val="21"/>
        </w:rPr>
        <w:footnoteReference w:id="78"/>
      </w:r>
      <w:r>
        <w:rPr>
          <w:rFonts w:hint="eastAsia"/>
        </w:rPr>
        <w:t>。</w:t>
      </w:r>
      <w:proofErr w:type="gramStart"/>
      <w:r>
        <w:rPr>
          <w:rFonts w:hint="eastAsia"/>
        </w:rPr>
        <w:t>腾讯健康</w:t>
      </w:r>
      <w:proofErr w:type="gramEnd"/>
      <w:r>
        <w:rPr>
          <w:rFonts w:hint="eastAsia"/>
        </w:rPr>
        <w:t>持续投入医疗</w:t>
      </w:r>
      <w:r>
        <w:rPr>
          <w:rFonts w:hint="eastAsia"/>
        </w:rPr>
        <w:t>AI</w:t>
      </w:r>
      <w:r>
        <w:rPr>
          <w:rFonts w:hint="eastAsia"/>
        </w:rPr>
        <w:t>相关技术研究，累计专利</w:t>
      </w:r>
      <w:r>
        <w:rPr>
          <w:rFonts w:hint="eastAsia"/>
        </w:rPr>
        <w:t>1000</w:t>
      </w:r>
      <w:r>
        <w:rPr>
          <w:rFonts w:hint="eastAsia"/>
        </w:rPr>
        <w:t>多件，并加速转化前沿技术应用到医疗场景</w:t>
      </w:r>
      <w:r>
        <w:rPr>
          <w:rStyle w:val="affe"/>
          <w:color w:val="060607"/>
          <w:spacing w:val="4"/>
          <w:szCs w:val="21"/>
        </w:rPr>
        <w:footnoteReference w:id="79"/>
      </w:r>
      <w:r>
        <w:rPr>
          <w:rFonts w:hint="eastAsia"/>
        </w:rPr>
        <w:t>，打造智能问答、家庭医生助手、</w:t>
      </w:r>
      <w:proofErr w:type="gramStart"/>
      <w:r>
        <w:rPr>
          <w:rFonts w:hint="eastAsia"/>
        </w:rPr>
        <w:t>数智医疗</w:t>
      </w:r>
      <w:proofErr w:type="gramEnd"/>
      <w:r>
        <w:rPr>
          <w:rFonts w:hint="eastAsia"/>
        </w:rPr>
        <w:t>影像平台等多场景</w:t>
      </w:r>
      <w:r>
        <w:rPr>
          <w:rFonts w:hint="eastAsia"/>
        </w:rPr>
        <w:t>AI</w:t>
      </w:r>
      <w:r>
        <w:rPr>
          <w:rFonts w:hint="eastAsia"/>
        </w:rPr>
        <w:t>产品矩阵，推动“数智医疗”普惠普及。</w:t>
      </w:r>
    </w:p>
    <w:p w14:paraId="3840E7A5" w14:textId="77777777" w:rsidR="008810A2" w:rsidRDefault="008810A2" w:rsidP="002B0D05">
      <w:pPr>
        <w:pStyle w:val="a4"/>
      </w:pPr>
      <w:bookmarkStart w:id="282" w:name="_Toc170906147"/>
      <w:bookmarkStart w:id="283" w:name="_Toc171146632"/>
      <w:bookmarkStart w:id="284" w:name="_Toc345950556"/>
      <w:bookmarkStart w:id="285" w:name="_Toc330398673"/>
      <w:bookmarkStart w:id="286" w:name="_Toc234977206"/>
      <w:bookmarkStart w:id="287" w:name="_Toc376784091"/>
      <w:bookmarkStart w:id="288" w:name="_Toc171076983"/>
      <w:bookmarkStart w:id="289" w:name="_Toc185062496"/>
      <w:bookmarkStart w:id="290" w:name="_Toc234052502"/>
      <w:bookmarkEnd w:id="139"/>
      <w:bookmarkEnd w:id="140"/>
      <w:bookmarkEnd w:id="141"/>
      <w:bookmarkEnd w:id="142"/>
      <w:bookmarkEnd w:id="143"/>
      <w:bookmarkEnd w:id="144"/>
      <w:bookmarkEnd w:id="145"/>
      <w:bookmarkEnd w:id="146"/>
      <w:bookmarkEnd w:id="147"/>
      <w:bookmarkEnd w:id="148"/>
      <w:bookmarkEnd w:id="149"/>
      <w:bookmarkEnd w:id="150"/>
      <w:bookmarkEnd w:id="151"/>
      <w:bookmarkEnd w:id="270"/>
      <w:bookmarkEnd w:id="271"/>
      <w:bookmarkEnd w:id="272"/>
      <w:bookmarkEnd w:id="273"/>
      <w:bookmarkEnd w:id="274"/>
      <w:bookmarkEnd w:id="275"/>
      <w:bookmarkEnd w:id="276"/>
      <w:bookmarkEnd w:id="277"/>
    </w:p>
    <w:p w14:paraId="2D0373FE" w14:textId="77777777" w:rsidR="008810A2" w:rsidRDefault="00D921E0">
      <w:pPr>
        <w:ind w:firstLine="1044"/>
        <w:rPr>
          <w:rFonts w:eastAsia="仿宋_GB2312"/>
          <w:b/>
          <w:color w:val="000000" w:themeColor="text1"/>
          <w:sz w:val="52"/>
          <w:szCs w:val="52"/>
        </w:rPr>
      </w:pPr>
      <w:r>
        <w:rPr>
          <w:rFonts w:eastAsia="仿宋_GB2312"/>
          <w:b/>
          <w:color w:val="000000" w:themeColor="text1"/>
          <w:sz w:val="52"/>
          <w:szCs w:val="52"/>
        </w:rPr>
        <w:br w:type="page"/>
      </w:r>
    </w:p>
    <w:p w14:paraId="7885B096" w14:textId="77777777" w:rsidR="008810A2" w:rsidRDefault="00D921E0">
      <w:pPr>
        <w:pStyle w:val="2"/>
        <w:numPr>
          <w:ilvl w:val="0"/>
          <w:numId w:val="10"/>
        </w:numPr>
        <w:spacing w:before="400" w:after="300" w:line="312" w:lineRule="auto"/>
        <w:ind w:left="0" w:firstLine="0"/>
        <w:rPr>
          <w:rFonts w:eastAsia="楷体_GB2312"/>
          <w:color w:val="000000" w:themeColor="text1"/>
          <w:sz w:val="30"/>
          <w:szCs w:val="30"/>
        </w:rPr>
      </w:pPr>
      <w:bookmarkStart w:id="291" w:name="_Toc175065728"/>
      <w:r>
        <w:rPr>
          <w:rFonts w:eastAsia="黑体"/>
          <w:color w:val="000000" w:themeColor="text1"/>
          <w:sz w:val="36"/>
          <w:szCs w:val="36"/>
        </w:rPr>
        <w:lastRenderedPageBreak/>
        <w:t>专</w:t>
      </w:r>
      <w:r>
        <w:rPr>
          <w:rFonts w:eastAsia="黑体" w:hint="eastAsia"/>
          <w:color w:val="000000" w:themeColor="text1"/>
          <w:sz w:val="36"/>
          <w:szCs w:val="36"/>
        </w:rPr>
        <w:t>栏</w:t>
      </w:r>
      <w:bookmarkEnd w:id="291"/>
    </w:p>
    <w:tbl>
      <w:tblPr>
        <w:tblStyle w:val="aff4"/>
        <w:tblW w:w="0" w:type="auto"/>
        <w:jc w:val="center"/>
        <w:tblLook w:val="04A0" w:firstRow="1" w:lastRow="0" w:firstColumn="1" w:lastColumn="0" w:noHBand="0" w:noVBand="1"/>
      </w:tblPr>
      <w:tblGrid>
        <w:gridCol w:w="8256"/>
      </w:tblGrid>
      <w:tr w:rsidR="008810A2" w14:paraId="5C45207B" w14:textId="77777777">
        <w:trPr>
          <w:trHeight w:val="188"/>
          <w:jc w:val="center"/>
        </w:trPr>
        <w:tc>
          <w:tcPr>
            <w:tcW w:w="8256" w:type="dxa"/>
          </w:tcPr>
          <w:p w14:paraId="3BD4581D" w14:textId="77777777" w:rsidR="008810A2" w:rsidRDefault="00D921E0">
            <w:pPr>
              <w:ind w:firstLineChars="0" w:firstLine="0"/>
              <w:jc w:val="center"/>
              <w:rPr>
                <w:rFonts w:eastAsiaTheme="minorEastAsia"/>
                <w:b/>
                <w:bCs/>
                <w:color w:val="000000" w:themeColor="text1"/>
                <w:kern w:val="0"/>
                <w:szCs w:val="21"/>
              </w:rPr>
            </w:pPr>
            <w:r>
              <w:rPr>
                <w:rFonts w:eastAsiaTheme="minorEastAsia"/>
                <w:b/>
                <w:bCs/>
                <w:color w:val="000000" w:themeColor="text1"/>
                <w:kern w:val="0"/>
                <w:szCs w:val="21"/>
              </w:rPr>
              <w:t>专栏</w:t>
            </w:r>
            <w:r>
              <w:rPr>
                <w:rFonts w:eastAsiaTheme="minorEastAsia" w:hint="eastAsia"/>
                <w:b/>
                <w:bCs/>
                <w:color w:val="000000" w:themeColor="text1"/>
                <w:kern w:val="0"/>
                <w:szCs w:val="21"/>
              </w:rPr>
              <w:t>1</w:t>
            </w:r>
            <w:r>
              <w:rPr>
                <w:rFonts w:eastAsiaTheme="minorEastAsia"/>
                <w:b/>
                <w:bCs/>
                <w:color w:val="000000" w:themeColor="text1"/>
                <w:kern w:val="0"/>
                <w:szCs w:val="21"/>
              </w:rPr>
              <w:t xml:space="preserve">  </w:t>
            </w:r>
            <w:r>
              <w:rPr>
                <w:rFonts w:eastAsiaTheme="minorEastAsia" w:hint="eastAsia"/>
                <w:b/>
                <w:bCs/>
                <w:color w:val="000000" w:themeColor="text1"/>
                <w:kern w:val="0"/>
                <w:szCs w:val="21"/>
              </w:rPr>
              <w:t>人工智能</w:t>
            </w:r>
          </w:p>
        </w:tc>
      </w:tr>
      <w:tr w:rsidR="008810A2" w14:paraId="59E97A5D" w14:textId="77777777">
        <w:trPr>
          <w:jc w:val="center"/>
        </w:trPr>
        <w:tc>
          <w:tcPr>
            <w:tcW w:w="8256" w:type="dxa"/>
          </w:tcPr>
          <w:p w14:paraId="62FC079E" w14:textId="77777777" w:rsidR="008810A2" w:rsidRDefault="00D921E0">
            <w:pPr>
              <w:ind w:firstLine="420"/>
              <w:rPr>
                <w:color w:val="070707"/>
                <w:szCs w:val="21"/>
              </w:rPr>
            </w:pPr>
            <w:r>
              <w:rPr>
                <w:rFonts w:hint="eastAsia"/>
                <w:color w:val="070707"/>
                <w:szCs w:val="21"/>
              </w:rPr>
              <w:t>2024</w:t>
            </w:r>
            <w:r>
              <w:rPr>
                <w:rFonts w:hint="eastAsia"/>
                <w:color w:val="070707"/>
                <w:szCs w:val="21"/>
              </w:rPr>
              <w:t>年《政府工作报告》指出，要深化大数据、人工智能等研发应用，开展“人工智能</w:t>
            </w:r>
            <w:r>
              <w:rPr>
                <w:rFonts w:hint="eastAsia"/>
                <w:color w:val="070707"/>
                <w:szCs w:val="21"/>
              </w:rPr>
              <w:t>+</w:t>
            </w:r>
            <w:r>
              <w:rPr>
                <w:rFonts w:hint="eastAsia"/>
                <w:color w:val="070707"/>
                <w:szCs w:val="21"/>
              </w:rPr>
              <w:t>”行动，打造具有国际竞争力的数字产业集群。得益于政策的积极引导和企业的大力投入，人工智能技术在我国已进入发展快车道，吸引我国高科技企业积极布局，相关产品和政策陆续推出。截至</w:t>
            </w:r>
            <w:r>
              <w:rPr>
                <w:rFonts w:hint="eastAsia"/>
                <w:color w:val="070707"/>
                <w:szCs w:val="21"/>
              </w:rPr>
              <w:t>2024</w:t>
            </w:r>
            <w:r>
              <w:rPr>
                <w:rFonts w:hint="eastAsia"/>
                <w:color w:val="070707"/>
                <w:szCs w:val="21"/>
              </w:rPr>
              <w:t>年</w:t>
            </w:r>
            <w:r>
              <w:rPr>
                <w:rFonts w:hint="eastAsia"/>
                <w:color w:val="070707"/>
                <w:szCs w:val="21"/>
              </w:rPr>
              <w:t>6</w:t>
            </w:r>
            <w:r>
              <w:rPr>
                <w:rFonts w:hint="eastAsia"/>
                <w:color w:val="070707"/>
                <w:szCs w:val="21"/>
              </w:rPr>
              <w:t>月，我国以大模型为代表的人工智能普及率为</w:t>
            </w:r>
            <w:r>
              <w:rPr>
                <w:rFonts w:hint="eastAsia"/>
                <w:color w:val="070707"/>
                <w:szCs w:val="21"/>
              </w:rPr>
              <w:t>16.4%</w:t>
            </w:r>
            <w:r>
              <w:rPr>
                <w:rStyle w:val="affe"/>
                <w:color w:val="070707"/>
                <w:szCs w:val="21"/>
              </w:rPr>
              <w:footnoteReference w:id="80"/>
            </w:r>
            <w:r>
              <w:rPr>
                <w:rFonts w:hint="eastAsia"/>
                <w:color w:val="070707"/>
                <w:szCs w:val="21"/>
              </w:rPr>
              <w:t>。</w:t>
            </w:r>
          </w:p>
          <w:p w14:paraId="79BD18AE" w14:textId="77777777" w:rsidR="008810A2" w:rsidRDefault="00D921E0">
            <w:pPr>
              <w:ind w:firstLine="422"/>
              <w:rPr>
                <w:color w:val="070707"/>
                <w:szCs w:val="21"/>
              </w:rPr>
            </w:pPr>
            <w:r>
              <w:rPr>
                <w:rFonts w:hint="eastAsia"/>
                <w:b/>
                <w:bCs/>
                <w:color w:val="070707"/>
                <w:szCs w:val="21"/>
              </w:rPr>
              <w:t>在政策引导方面</w:t>
            </w:r>
            <w:r>
              <w:rPr>
                <w:rFonts w:hint="eastAsia"/>
                <w:color w:val="070707"/>
                <w:szCs w:val="21"/>
              </w:rPr>
              <w:t>，中央与地方政府各尽其责，共同推动人工智能产业健康有序发展。</w:t>
            </w:r>
            <w:r>
              <w:rPr>
                <w:rFonts w:hint="eastAsia"/>
                <w:b/>
                <w:bCs/>
                <w:color w:val="070707"/>
                <w:szCs w:val="21"/>
              </w:rPr>
              <w:t>在中央</w:t>
            </w:r>
            <w:r>
              <w:rPr>
                <w:rFonts w:hint="eastAsia"/>
                <w:color w:val="070707"/>
                <w:szCs w:val="21"/>
              </w:rPr>
              <w:t>，针对人工智能产业发展的政策性文件陆续出台实施。国务院、工业和信息化部等机构</w:t>
            </w:r>
            <w:r>
              <w:rPr>
                <w:color w:val="070707"/>
                <w:szCs w:val="21"/>
              </w:rPr>
              <w:t>先后发布《新一代人工智能发展规划》</w:t>
            </w:r>
            <w:r>
              <w:rPr>
                <w:rFonts w:hint="eastAsia"/>
                <w:color w:val="070707"/>
                <w:szCs w:val="21"/>
              </w:rPr>
              <w:t>《国家新一代人工智能标准体系建设指南》《国家人工智能产业综合标准化体系建设指南》等文件，为我国</w:t>
            </w:r>
            <w:r>
              <w:rPr>
                <w:color w:val="070707"/>
                <w:szCs w:val="21"/>
              </w:rPr>
              <w:t>人工智能</w:t>
            </w:r>
            <w:r>
              <w:rPr>
                <w:rFonts w:hint="eastAsia"/>
                <w:color w:val="070707"/>
                <w:szCs w:val="21"/>
              </w:rPr>
              <w:t>产业</w:t>
            </w:r>
            <w:r>
              <w:rPr>
                <w:color w:val="070707"/>
                <w:szCs w:val="21"/>
              </w:rPr>
              <w:t>发展</w:t>
            </w:r>
            <w:r>
              <w:rPr>
                <w:rFonts w:hint="eastAsia"/>
                <w:color w:val="070707"/>
                <w:szCs w:val="21"/>
              </w:rPr>
              <w:t>设定了</w:t>
            </w:r>
            <w:r>
              <w:rPr>
                <w:color w:val="070707"/>
                <w:szCs w:val="21"/>
              </w:rPr>
              <w:t>基本原则</w:t>
            </w:r>
            <w:r>
              <w:rPr>
                <w:rFonts w:hint="eastAsia"/>
                <w:color w:val="070707"/>
                <w:szCs w:val="21"/>
              </w:rPr>
              <w:t>、</w:t>
            </w:r>
            <w:r>
              <w:rPr>
                <w:color w:val="070707"/>
                <w:szCs w:val="21"/>
              </w:rPr>
              <w:t>行动目标</w:t>
            </w:r>
            <w:r>
              <w:rPr>
                <w:rFonts w:hint="eastAsia"/>
                <w:color w:val="070707"/>
                <w:szCs w:val="21"/>
              </w:rPr>
              <w:t>和标准体系</w:t>
            </w:r>
            <w:r>
              <w:rPr>
                <w:color w:val="070707"/>
                <w:szCs w:val="21"/>
              </w:rPr>
              <w:t>。</w:t>
            </w:r>
            <w:r>
              <w:rPr>
                <w:rFonts w:hint="eastAsia"/>
                <w:b/>
                <w:bCs/>
                <w:color w:val="070707"/>
                <w:szCs w:val="21"/>
              </w:rPr>
              <w:t>在地方</w:t>
            </w:r>
            <w:r>
              <w:rPr>
                <w:rFonts w:hint="eastAsia"/>
                <w:color w:val="070707"/>
                <w:szCs w:val="21"/>
              </w:rPr>
              <w:t>，各地政府积极抢抓发展机遇，营造良好营商环境，积极支持当地人工智能产业发展。北京、上海、广州等地政府积极打造人工智能产业生态集聚区，引导资源投入人工智能产业创新，向相关技术人才提供优惠政策，为当地营造良好人工智能产业发展环境。数据显示，仅过去两年，全国就有</w:t>
            </w:r>
            <w:r>
              <w:rPr>
                <w:rFonts w:hint="eastAsia"/>
                <w:color w:val="070707"/>
                <w:szCs w:val="21"/>
              </w:rPr>
              <w:t>13</w:t>
            </w:r>
            <w:r>
              <w:rPr>
                <w:rFonts w:hint="eastAsia"/>
                <w:color w:val="070707"/>
                <w:szCs w:val="21"/>
              </w:rPr>
              <w:t>个省（区、市）新发布了人工智能产业行动计划或措施文件</w:t>
            </w:r>
            <w:r>
              <w:rPr>
                <w:rStyle w:val="affe"/>
                <w:color w:val="070707"/>
                <w:szCs w:val="21"/>
              </w:rPr>
              <w:footnoteReference w:id="81"/>
            </w:r>
            <w:r>
              <w:rPr>
                <w:rFonts w:hint="eastAsia"/>
                <w:color w:val="070707"/>
                <w:szCs w:val="21"/>
              </w:rPr>
              <w:t>。</w:t>
            </w:r>
          </w:p>
          <w:p w14:paraId="6668B4B5" w14:textId="77777777" w:rsidR="008810A2" w:rsidRDefault="00D921E0">
            <w:pPr>
              <w:ind w:firstLine="422"/>
              <w:rPr>
                <w:rFonts w:eastAsiaTheme="minorEastAsia"/>
                <w:color w:val="000000" w:themeColor="text1"/>
                <w:kern w:val="0"/>
                <w:szCs w:val="21"/>
              </w:rPr>
            </w:pPr>
            <w:r>
              <w:rPr>
                <w:rFonts w:hint="eastAsia"/>
                <w:b/>
                <w:bCs/>
                <w:color w:val="070707"/>
                <w:szCs w:val="21"/>
              </w:rPr>
              <w:t>在产业发展方面</w:t>
            </w:r>
            <w:r>
              <w:rPr>
                <w:rFonts w:hint="eastAsia"/>
                <w:color w:val="070707"/>
                <w:szCs w:val="21"/>
              </w:rPr>
              <w:t>，大型互联网厂商、中小型初创企业纷纷投入人工智能产品和技术研发，推动我国人工智能相关产业发展水平达到全球前列</w:t>
            </w:r>
            <w:r>
              <w:rPr>
                <w:color w:val="070707"/>
                <w:szCs w:val="21"/>
              </w:rPr>
              <w:t>。</w:t>
            </w:r>
            <w:r>
              <w:rPr>
                <w:rFonts w:hint="eastAsia"/>
                <w:b/>
                <w:bCs/>
                <w:color w:val="070707"/>
                <w:szCs w:val="21"/>
              </w:rPr>
              <w:t>一是我国人工智能产业规模迅速扩大。</w:t>
            </w:r>
            <w:r>
              <w:rPr>
                <w:rFonts w:hint="eastAsia"/>
                <w:color w:val="070707"/>
                <w:szCs w:val="21"/>
              </w:rPr>
              <w:t>我国对人工智能技术发展一直予以高度关注，尤其自</w:t>
            </w:r>
            <w:r>
              <w:rPr>
                <w:rFonts w:hint="eastAsia"/>
                <w:color w:val="070707"/>
                <w:szCs w:val="21"/>
              </w:rPr>
              <w:t>2023</w:t>
            </w:r>
            <w:r>
              <w:rPr>
                <w:rFonts w:hint="eastAsia"/>
                <w:color w:val="070707"/>
                <w:szCs w:val="21"/>
              </w:rPr>
              <w:t>年生成式人工智能概念兴起至今，国产生成式人工智能大模型如雨后春笋般涌现。数据显示，我国人工智能核心产业规模已接近</w:t>
            </w:r>
            <w:r>
              <w:rPr>
                <w:rFonts w:hint="eastAsia"/>
                <w:color w:val="070707"/>
                <w:szCs w:val="21"/>
              </w:rPr>
              <w:t>6000</w:t>
            </w:r>
            <w:r>
              <w:rPr>
                <w:rFonts w:hint="eastAsia"/>
                <w:color w:val="070707"/>
                <w:szCs w:val="21"/>
              </w:rPr>
              <w:t>亿元</w:t>
            </w:r>
            <w:r>
              <w:rPr>
                <w:rStyle w:val="affe"/>
                <w:color w:val="070707"/>
                <w:szCs w:val="21"/>
              </w:rPr>
              <w:footnoteReference w:id="82"/>
            </w:r>
            <w:r>
              <w:rPr>
                <w:rFonts w:hint="eastAsia"/>
                <w:color w:val="070707"/>
                <w:szCs w:val="21"/>
              </w:rPr>
              <w:t>，人工智能企业数量超过</w:t>
            </w:r>
            <w:r>
              <w:rPr>
                <w:rFonts w:hint="eastAsia"/>
                <w:color w:val="070707"/>
                <w:szCs w:val="21"/>
              </w:rPr>
              <w:t>4500</w:t>
            </w:r>
            <w:r>
              <w:rPr>
                <w:rFonts w:hint="eastAsia"/>
                <w:color w:val="070707"/>
                <w:szCs w:val="21"/>
              </w:rPr>
              <w:t>家</w:t>
            </w:r>
            <w:r>
              <w:rPr>
                <w:rStyle w:val="affe"/>
                <w:color w:val="070707"/>
                <w:szCs w:val="21"/>
              </w:rPr>
              <w:footnoteReference w:id="83"/>
            </w:r>
            <w:r>
              <w:rPr>
                <w:rFonts w:hint="eastAsia"/>
                <w:color w:val="070707"/>
                <w:szCs w:val="21"/>
              </w:rPr>
              <w:t>，</w:t>
            </w:r>
            <w:proofErr w:type="gramStart"/>
            <w:r>
              <w:rPr>
                <w:rFonts w:hint="eastAsia"/>
                <w:color w:val="070707"/>
                <w:szCs w:val="21"/>
              </w:rPr>
              <w:t>算力规模</w:t>
            </w:r>
            <w:proofErr w:type="gramEnd"/>
            <w:r>
              <w:rPr>
                <w:rFonts w:hint="eastAsia"/>
                <w:color w:val="070707"/>
                <w:szCs w:val="21"/>
              </w:rPr>
              <w:t>位居全球第二</w:t>
            </w:r>
            <w:r>
              <w:rPr>
                <w:rStyle w:val="affe"/>
                <w:color w:val="070707"/>
                <w:szCs w:val="21"/>
              </w:rPr>
              <w:footnoteReference w:id="84"/>
            </w:r>
            <w:r>
              <w:rPr>
                <w:rFonts w:hint="eastAsia"/>
                <w:color w:val="070707"/>
                <w:szCs w:val="21"/>
              </w:rPr>
              <w:t>。</w:t>
            </w:r>
            <w:r>
              <w:rPr>
                <w:rFonts w:hint="eastAsia"/>
                <w:b/>
                <w:bCs/>
                <w:color w:val="070707"/>
                <w:szCs w:val="21"/>
              </w:rPr>
              <w:t>二是生成式人工智能产品在我国百花齐放。</w:t>
            </w:r>
            <w:r>
              <w:rPr>
                <w:rFonts w:hint="eastAsia"/>
                <w:color w:val="070707"/>
                <w:szCs w:val="21"/>
              </w:rPr>
              <w:t>百度的文心大模型、阿里的通义大模型、</w:t>
            </w:r>
            <w:proofErr w:type="gramStart"/>
            <w:r>
              <w:rPr>
                <w:rFonts w:hint="eastAsia"/>
                <w:color w:val="070707"/>
                <w:szCs w:val="21"/>
              </w:rPr>
              <w:t>腾讯的</w:t>
            </w:r>
            <w:proofErr w:type="gramEnd"/>
            <w:r>
              <w:rPr>
                <w:rFonts w:hint="eastAsia"/>
                <w:color w:val="070707"/>
                <w:szCs w:val="21"/>
              </w:rPr>
              <w:t>混元大模型、字节跳动的豆包大模型、华为的盘古大模型、月之暗面的“</w:t>
            </w:r>
            <w:r>
              <w:rPr>
                <w:rFonts w:hint="eastAsia"/>
                <w:color w:val="070707"/>
                <w:szCs w:val="21"/>
              </w:rPr>
              <w:t>Kimi</w:t>
            </w:r>
            <w:r>
              <w:rPr>
                <w:rFonts w:hint="eastAsia"/>
                <w:color w:val="070707"/>
                <w:szCs w:val="21"/>
              </w:rPr>
              <w:t>智能助手”、</w:t>
            </w:r>
            <w:proofErr w:type="gramStart"/>
            <w:r>
              <w:rPr>
                <w:rFonts w:hint="eastAsia"/>
                <w:color w:val="070707"/>
                <w:szCs w:val="21"/>
              </w:rPr>
              <w:t>微博的</w:t>
            </w:r>
            <w:proofErr w:type="gramEnd"/>
            <w:r>
              <w:rPr>
                <w:rFonts w:hint="eastAsia"/>
                <w:color w:val="070707"/>
                <w:szCs w:val="21"/>
              </w:rPr>
              <w:t>“评论罗伯特”等生成式人工智能产品纷纷上线，为用户提供了丰富的选择空间和差异化的用户体验。三</w:t>
            </w:r>
            <w:r>
              <w:rPr>
                <w:b/>
                <w:bCs/>
                <w:color w:val="070707"/>
                <w:szCs w:val="21"/>
              </w:rPr>
              <w:t>是</w:t>
            </w:r>
            <w:r>
              <w:rPr>
                <w:rFonts w:hint="eastAsia"/>
                <w:b/>
                <w:bCs/>
                <w:color w:val="070707"/>
                <w:szCs w:val="21"/>
              </w:rPr>
              <w:t>人工智能与各行各业的</w:t>
            </w:r>
            <w:r>
              <w:rPr>
                <w:b/>
                <w:bCs/>
                <w:color w:val="070707"/>
                <w:szCs w:val="21"/>
              </w:rPr>
              <w:t>融合</w:t>
            </w:r>
            <w:r>
              <w:rPr>
                <w:rFonts w:hint="eastAsia"/>
                <w:b/>
                <w:bCs/>
                <w:color w:val="070707"/>
                <w:szCs w:val="21"/>
              </w:rPr>
              <w:t>正在我国</w:t>
            </w:r>
            <w:r>
              <w:rPr>
                <w:b/>
                <w:bCs/>
                <w:color w:val="070707"/>
                <w:szCs w:val="21"/>
              </w:rPr>
              <w:t>加速落地</w:t>
            </w:r>
            <w:r>
              <w:rPr>
                <w:rFonts w:hint="eastAsia"/>
                <w:b/>
                <w:bCs/>
                <w:color w:val="070707"/>
                <w:szCs w:val="21"/>
              </w:rPr>
              <w:t>。</w:t>
            </w:r>
            <w:r>
              <w:rPr>
                <w:color w:val="070707"/>
                <w:szCs w:val="21"/>
              </w:rPr>
              <w:t>人工智能正与制造业、农业、医疗、教育等传统行业深度融合，推动产业转型升级，促进</w:t>
            </w:r>
            <w:r>
              <w:rPr>
                <w:color w:val="070707"/>
                <w:szCs w:val="21"/>
              </w:rPr>
              <w:lastRenderedPageBreak/>
              <w:t>新业态、新模式的不断涌现。</w:t>
            </w:r>
            <w:r>
              <w:rPr>
                <w:rFonts w:hint="eastAsia"/>
                <w:color w:val="070707"/>
                <w:szCs w:val="21"/>
              </w:rPr>
              <w:t>从智能语音助手到自动驾驶汽车，从机器翻译到智能医疗诊断，从智能制造到智慧城市，各类人工智能</w:t>
            </w:r>
            <w:r>
              <w:rPr>
                <w:color w:val="070707"/>
                <w:szCs w:val="21"/>
              </w:rPr>
              <w:t>产品正逐步走进人们的生活，极大地提高了生活质量和生产效率。</w:t>
            </w:r>
          </w:p>
        </w:tc>
      </w:tr>
    </w:tbl>
    <w:p w14:paraId="6D08303A" w14:textId="77777777" w:rsidR="008810A2" w:rsidRDefault="008810A2">
      <w:pPr>
        <w:ind w:firstLine="420"/>
      </w:pPr>
    </w:p>
    <w:p w14:paraId="6E2F173B" w14:textId="77777777" w:rsidR="008810A2" w:rsidRDefault="008810A2">
      <w:pPr>
        <w:ind w:firstLine="420"/>
      </w:pPr>
      <w:bookmarkStart w:id="292" w:name="_Hlk141175608"/>
      <w:bookmarkStart w:id="293" w:name="_Toc141105716"/>
    </w:p>
    <w:p w14:paraId="1F9B1D82" w14:textId="77777777" w:rsidR="008810A2" w:rsidRDefault="00D921E0">
      <w:pPr>
        <w:widowControl/>
        <w:spacing w:line="240" w:lineRule="auto"/>
        <w:ind w:firstLineChars="0" w:firstLine="0"/>
        <w:jc w:val="left"/>
        <w:rPr>
          <w:rFonts w:eastAsia="仿宋_GB2312"/>
          <w:b/>
          <w:color w:val="000000" w:themeColor="text1"/>
          <w:sz w:val="52"/>
          <w:szCs w:val="52"/>
        </w:rPr>
      </w:pPr>
      <w:r>
        <w:rPr>
          <w:rFonts w:eastAsia="仿宋_GB2312"/>
          <w:b/>
          <w:color w:val="000000" w:themeColor="text1"/>
          <w:sz w:val="52"/>
          <w:szCs w:val="52"/>
        </w:rPr>
        <w:br w:type="page"/>
      </w:r>
    </w:p>
    <w:tbl>
      <w:tblPr>
        <w:tblStyle w:val="aff4"/>
        <w:tblW w:w="0" w:type="auto"/>
        <w:tblLook w:val="04A0" w:firstRow="1" w:lastRow="0" w:firstColumn="1" w:lastColumn="0" w:noHBand="0" w:noVBand="1"/>
      </w:tblPr>
      <w:tblGrid>
        <w:gridCol w:w="8256"/>
      </w:tblGrid>
      <w:tr w:rsidR="008810A2" w14:paraId="3820E08F" w14:textId="77777777">
        <w:trPr>
          <w:trHeight w:val="188"/>
        </w:trPr>
        <w:tc>
          <w:tcPr>
            <w:tcW w:w="8256" w:type="dxa"/>
          </w:tcPr>
          <w:bookmarkEnd w:id="34"/>
          <w:bookmarkEnd w:id="152"/>
          <w:bookmarkEnd w:id="153"/>
          <w:bookmarkEnd w:id="154"/>
          <w:bookmarkEnd w:id="155"/>
          <w:bookmarkEnd w:id="156"/>
          <w:bookmarkEnd w:id="157"/>
          <w:bookmarkEnd w:id="158"/>
          <w:bookmarkEnd w:id="159"/>
          <w:bookmarkEnd w:id="282"/>
          <w:bookmarkEnd w:id="283"/>
          <w:bookmarkEnd w:id="284"/>
          <w:bookmarkEnd w:id="285"/>
          <w:bookmarkEnd w:id="286"/>
          <w:bookmarkEnd w:id="287"/>
          <w:bookmarkEnd w:id="288"/>
          <w:bookmarkEnd w:id="289"/>
          <w:bookmarkEnd w:id="290"/>
          <w:bookmarkEnd w:id="292"/>
          <w:bookmarkEnd w:id="293"/>
          <w:p w14:paraId="1CC7CD6F" w14:textId="77777777" w:rsidR="008810A2" w:rsidRDefault="00D921E0">
            <w:pPr>
              <w:ind w:firstLineChars="0" w:firstLine="0"/>
              <w:jc w:val="center"/>
              <w:rPr>
                <w:rFonts w:ascii="宋体" w:hAnsi="宋体"/>
                <w:b/>
                <w:bCs/>
                <w:color w:val="000000" w:themeColor="text1"/>
                <w:kern w:val="0"/>
                <w:szCs w:val="21"/>
              </w:rPr>
            </w:pPr>
            <w:r>
              <w:rPr>
                <w:rFonts w:ascii="宋体" w:hAnsi="宋体"/>
                <w:b/>
                <w:bCs/>
                <w:color w:val="000000" w:themeColor="text1"/>
                <w:kern w:val="0"/>
                <w:szCs w:val="21"/>
              </w:rPr>
              <w:lastRenderedPageBreak/>
              <w:t>专栏</w:t>
            </w:r>
            <w:r w:rsidRPr="00D81E4E">
              <w:rPr>
                <w:b/>
                <w:bCs/>
                <w:color w:val="000000" w:themeColor="text1"/>
                <w:kern w:val="0"/>
                <w:szCs w:val="21"/>
              </w:rPr>
              <w:t>2</w:t>
            </w:r>
            <w:r>
              <w:rPr>
                <w:rFonts w:ascii="宋体" w:hAnsi="宋体"/>
                <w:b/>
                <w:bCs/>
                <w:color w:val="000000" w:themeColor="text1"/>
                <w:kern w:val="0"/>
                <w:szCs w:val="21"/>
              </w:rPr>
              <w:t xml:space="preserve">  </w:t>
            </w:r>
            <w:r>
              <w:rPr>
                <w:rFonts w:ascii="宋体" w:hAnsi="宋体" w:hint="eastAsia"/>
                <w:b/>
                <w:bCs/>
                <w:color w:val="000000" w:themeColor="text1"/>
                <w:kern w:val="0"/>
                <w:szCs w:val="21"/>
              </w:rPr>
              <w:t>互联网</w:t>
            </w:r>
            <w:r>
              <w:rPr>
                <w:rFonts w:ascii="宋体" w:hAnsi="宋体"/>
                <w:b/>
                <w:bCs/>
                <w:color w:val="000000" w:themeColor="text1"/>
                <w:kern w:val="0"/>
                <w:szCs w:val="21"/>
              </w:rPr>
              <w:t>企业</w:t>
            </w:r>
            <w:r>
              <w:rPr>
                <w:rFonts w:ascii="宋体" w:hAnsi="宋体" w:hint="eastAsia"/>
                <w:b/>
                <w:bCs/>
                <w:color w:val="000000" w:themeColor="text1"/>
                <w:kern w:val="0"/>
                <w:szCs w:val="21"/>
              </w:rPr>
              <w:t>上市及出海情况</w:t>
            </w:r>
          </w:p>
        </w:tc>
      </w:tr>
      <w:tr w:rsidR="008810A2" w14:paraId="41590183" w14:textId="77777777">
        <w:tc>
          <w:tcPr>
            <w:tcW w:w="8256" w:type="dxa"/>
          </w:tcPr>
          <w:p w14:paraId="6053A17E" w14:textId="77777777" w:rsidR="008810A2" w:rsidRDefault="00D921E0">
            <w:pPr>
              <w:ind w:firstLine="420"/>
              <w:rPr>
                <w:rFonts w:ascii="宋体" w:hAnsi="宋体"/>
                <w:kern w:val="0"/>
                <w:szCs w:val="21"/>
              </w:rPr>
            </w:pPr>
            <w:r>
              <w:rPr>
                <w:rFonts w:ascii="宋体" w:hAnsi="宋体" w:hint="eastAsia"/>
                <w:kern w:val="0"/>
                <w:szCs w:val="21"/>
              </w:rPr>
              <w:t>当前</w:t>
            </w:r>
            <w:r>
              <w:rPr>
                <w:rFonts w:ascii="宋体" w:hAnsi="宋体"/>
                <w:kern w:val="0"/>
                <w:szCs w:val="21"/>
              </w:rPr>
              <w:t>，我国互联网企业呈现企稳向好发展态势，业务收入和利润总额实现双增长。</w:t>
            </w:r>
            <w:r>
              <w:rPr>
                <w:kern w:val="0"/>
                <w:szCs w:val="21"/>
              </w:rPr>
              <w:t>2024</w:t>
            </w:r>
            <w:r>
              <w:rPr>
                <w:rFonts w:ascii="宋体" w:hAnsi="宋体" w:hint="eastAsia"/>
                <w:kern w:val="0"/>
                <w:szCs w:val="21"/>
              </w:rPr>
              <w:t>年上半年，我国规模以上互联网和相关服务企业完成互联网业务收入</w:t>
            </w:r>
            <w:r>
              <w:rPr>
                <w:kern w:val="0"/>
                <w:szCs w:val="21"/>
              </w:rPr>
              <w:t>8676</w:t>
            </w:r>
            <w:r>
              <w:rPr>
                <w:rFonts w:ascii="宋体" w:hAnsi="宋体" w:hint="eastAsia"/>
                <w:kern w:val="0"/>
                <w:szCs w:val="21"/>
              </w:rPr>
              <w:t>亿元，同比增长</w:t>
            </w:r>
            <w:r>
              <w:rPr>
                <w:kern w:val="0"/>
                <w:szCs w:val="21"/>
              </w:rPr>
              <w:t>5.6%</w:t>
            </w:r>
            <w:r>
              <w:rPr>
                <w:rStyle w:val="affe"/>
                <w:kern w:val="0"/>
                <w:szCs w:val="21"/>
              </w:rPr>
              <w:footnoteReference w:id="85"/>
            </w:r>
            <w:r>
              <w:rPr>
                <w:rFonts w:ascii="宋体" w:hAnsi="宋体" w:hint="eastAsia"/>
                <w:kern w:val="0"/>
                <w:szCs w:val="21"/>
              </w:rPr>
              <w:t>。</w:t>
            </w:r>
          </w:p>
          <w:p w14:paraId="03674CEC" w14:textId="77777777" w:rsidR="008810A2" w:rsidRDefault="00D921E0">
            <w:pPr>
              <w:ind w:firstLine="422"/>
              <w:rPr>
                <w:rFonts w:ascii="宋体" w:hAnsi="宋体"/>
                <w:kern w:val="0"/>
                <w:szCs w:val="21"/>
              </w:rPr>
            </w:pPr>
            <w:r>
              <w:rPr>
                <w:rFonts w:ascii="宋体" w:hAnsi="宋体" w:hint="eastAsia"/>
                <w:b/>
                <w:kern w:val="0"/>
                <w:szCs w:val="21"/>
              </w:rPr>
              <w:t>互联</w:t>
            </w:r>
            <w:proofErr w:type="gramStart"/>
            <w:r>
              <w:rPr>
                <w:rFonts w:ascii="宋体" w:hAnsi="宋体" w:hint="eastAsia"/>
                <w:b/>
                <w:kern w:val="0"/>
                <w:szCs w:val="21"/>
              </w:rPr>
              <w:t>网上市</w:t>
            </w:r>
            <w:proofErr w:type="gramEnd"/>
            <w:r>
              <w:rPr>
                <w:rFonts w:ascii="宋体" w:hAnsi="宋体"/>
                <w:b/>
                <w:kern w:val="0"/>
                <w:szCs w:val="21"/>
              </w:rPr>
              <w:t>企业</w:t>
            </w:r>
            <w:r>
              <w:rPr>
                <w:rFonts w:ascii="宋体" w:hAnsi="宋体" w:hint="eastAsia"/>
                <w:b/>
                <w:kern w:val="0"/>
                <w:szCs w:val="21"/>
              </w:rPr>
              <w:t>获得稳健</w:t>
            </w:r>
            <w:r>
              <w:rPr>
                <w:rFonts w:ascii="宋体" w:hAnsi="宋体"/>
                <w:b/>
                <w:kern w:val="0"/>
                <w:szCs w:val="21"/>
              </w:rPr>
              <w:t>发展。</w:t>
            </w:r>
            <w:r>
              <w:rPr>
                <w:rFonts w:ascii="宋体" w:hAnsi="宋体"/>
                <w:kern w:val="0"/>
                <w:szCs w:val="21"/>
              </w:rPr>
              <w:t>作为互联网企业的代表，互联</w:t>
            </w:r>
            <w:proofErr w:type="gramStart"/>
            <w:r>
              <w:rPr>
                <w:rFonts w:ascii="宋体" w:hAnsi="宋体"/>
                <w:kern w:val="0"/>
                <w:szCs w:val="21"/>
              </w:rPr>
              <w:t>网上市</w:t>
            </w:r>
            <w:proofErr w:type="gramEnd"/>
            <w:r>
              <w:rPr>
                <w:rFonts w:ascii="宋体" w:hAnsi="宋体"/>
                <w:kern w:val="0"/>
                <w:szCs w:val="21"/>
              </w:rPr>
              <w:t>企业汇聚了“大而优”的行业龙头和“小而美”的细分市场冠军，在科技创新、稳定经济等方面持续发挥重要作用。截至</w:t>
            </w:r>
            <w:r>
              <w:rPr>
                <w:kern w:val="0"/>
                <w:szCs w:val="21"/>
              </w:rPr>
              <w:t>2023</w:t>
            </w:r>
            <w:r>
              <w:rPr>
                <w:rFonts w:ascii="宋体" w:hAnsi="宋体"/>
                <w:kern w:val="0"/>
                <w:szCs w:val="21"/>
              </w:rPr>
              <w:t>年</w:t>
            </w:r>
            <w:r>
              <w:rPr>
                <w:kern w:val="0"/>
                <w:szCs w:val="21"/>
              </w:rPr>
              <w:t>12</w:t>
            </w:r>
            <w:r>
              <w:rPr>
                <w:rFonts w:ascii="宋体" w:hAnsi="宋体"/>
                <w:kern w:val="0"/>
                <w:szCs w:val="21"/>
              </w:rPr>
              <w:t>月，我国境内外互联</w:t>
            </w:r>
            <w:proofErr w:type="gramStart"/>
            <w:r>
              <w:rPr>
                <w:rFonts w:ascii="宋体" w:hAnsi="宋体"/>
                <w:kern w:val="0"/>
                <w:szCs w:val="21"/>
              </w:rPr>
              <w:t>网上市</w:t>
            </w:r>
            <w:proofErr w:type="gramEnd"/>
            <w:r>
              <w:rPr>
                <w:rFonts w:ascii="宋体" w:hAnsi="宋体"/>
                <w:kern w:val="0"/>
                <w:szCs w:val="21"/>
              </w:rPr>
              <w:t>企业</w:t>
            </w:r>
            <w:r>
              <w:rPr>
                <w:rStyle w:val="affe"/>
                <w:kern w:val="0"/>
                <w:szCs w:val="21"/>
              </w:rPr>
              <w:footnoteReference w:id="86"/>
            </w:r>
            <w:r>
              <w:rPr>
                <w:rFonts w:ascii="宋体" w:hAnsi="宋体"/>
                <w:kern w:val="0"/>
                <w:szCs w:val="21"/>
              </w:rPr>
              <w:t>总数为</w:t>
            </w:r>
            <w:r>
              <w:rPr>
                <w:kern w:val="0"/>
                <w:szCs w:val="21"/>
              </w:rPr>
              <w:t>155</w:t>
            </w:r>
            <w:r>
              <w:rPr>
                <w:rFonts w:ascii="宋体" w:hAnsi="宋体"/>
                <w:kern w:val="0"/>
                <w:szCs w:val="21"/>
              </w:rPr>
              <w:t>家</w:t>
            </w:r>
            <w:r>
              <w:rPr>
                <w:rStyle w:val="affe"/>
                <w:kern w:val="0"/>
                <w:szCs w:val="21"/>
              </w:rPr>
              <w:footnoteReference w:id="87"/>
            </w:r>
            <w:r>
              <w:rPr>
                <w:rFonts w:ascii="宋体" w:hAnsi="宋体"/>
                <w:kern w:val="0"/>
                <w:szCs w:val="21"/>
              </w:rPr>
              <w:t>。其中，在沪深、香港和美国上市的互联网企业数量分别为</w:t>
            </w:r>
            <w:r>
              <w:rPr>
                <w:kern w:val="0"/>
                <w:szCs w:val="21"/>
              </w:rPr>
              <w:t>42</w:t>
            </w:r>
            <w:r>
              <w:rPr>
                <w:rFonts w:ascii="宋体" w:hAnsi="宋体"/>
                <w:kern w:val="0"/>
                <w:szCs w:val="21"/>
              </w:rPr>
              <w:t>家、</w:t>
            </w:r>
            <w:r>
              <w:rPr>
                <w:kern w:val="0"/>
                <w:szCs w:val="21"/>
              </w:rPr>
              <w:t>50</w:t>
            </w:r>
            <w:r>
              <w:rPr>
                <w:rFonts w:ascii="宋体" w:hAnsi="宋体"/>
                <w:kern w:val="0"/>
                <w:szCs w:val="21"/>
              </w:rPr>
              <w:t>家和</w:t>
            </w:r>
            <w:r>
              <w:rPr>
                <w:kern w:val="0"/>
                <w:szCs w:val="21"/>
              </w:rPr>
              <w:t>63</w:t>
            </w:r>
            <w:r>
              <w:rPr>
                <w:rFonts w:ascii="宋体" w:hAnsi="宋体"/>
                <w:kern w:val="0"/>
                <w:szCs w:val="21"/>
              </w:rPr>
              <w:t>家。我国境内外互联</w:t>
            </w:r>
            <w:proofErr w:type="gramStart"/>
            <w:r>
              <w:rPr>
                <w:rFonts w:ascii="宋体" w:hAnsi="宋体"/>
                <w:kern w:val="0"/>
                <w:szCs w:val="21"/>
              </w:rPr>
              <w:t>网上市</w:t>
            </w:r>
            <w:proofErr w:type="gramEnd"/>
            <w:r>
              <w:rPr>
                <w:rFonts w:ascii="宋体" w:hAnsi="宋体"/>
                <w:kern w:val="0"/>
                <w:szCs w:val="21"/>
              </w:rPr>
              <w:t>企业在香港上市的总市值占比最高，占总体的</w:t>
            </w:r>
            <w:r>
              <w:rPr>
                <w:kern w:val="0"/>
                <w:szCs w:val="21"/>
              </w:rPr>
              <w:t>54.0%</w:t>
            </w:r>
            <w:r>
              <w:rPr>
                <w:rFonts w:ascii="宋体" w:hAnsi="宋体"/>
                <w:kern w:val="0"/>
                <w:szCs w:val="21"/>
              </w:rPr>
              <w:t>；在美国和沪深两市上市的互联网企业总市值分别占总体的</w:t>
            </w:r>
            <w:r>
              <w:rPr>
                <w:kern w:val="0"/>
                <w:szCs w:val="21"/>
              </w:rPr>
              <w:t>37.8%</w:t>
            </w:r>
            <w:r>
              <w:rPr>
                <w:rFonts w:ascii="宋体" w:hAnsi="宋体"/>
                <w:kern w:val="0"/>
                <w:szCs w:val="21"/>
              </w:rPr>
              <w:t>和</w:t>
            </w:r>
            <w:r>
              <w:rPr>
                <w:kern w:val="0"/>
                <w:szCs w:val="21"/>
              </w:rPr>
              <w:t>8.2%</w:t>
            </w:r>
            <w:r>
              <w:rPr>
                <w:rFonts w:ascii="宋体" w:hAnsi="宋体"/>
                <w:kern w:val="0"/>
                <w:szCs w:val="21"/>
              </w:rPr>
              <w:t>。我国境内外互联</w:t>
            </w:r>
            <w:proofErr w:type="gramStart"/>
            <w:r>
              <w:rPr>
                <w:rFonts w:ascii="宋体" w:hAnsi="宋体"/>
                <w:kern w:val="0"/>
                <w:szCs w:val="21"/>
              </w:rPr>
              <w:t>网上市</w:t>
            </w:r>
            <w:proofErr w:type="gramEnd"/>
            <w:r>
              <w:rPr>
                <w:rFonts w:ascii="宋体" w:hAnsi="宋体"/>
                <w:kern w:val="0"/>
                <w:szCs w:val="21"/>
              </w:rPr>
              <w:t>企业中工商注册地位于北京的互联</w:t>
            </w:r>
            <w:proofErr w:type="gramStart"/>
            <w:r>
              <w:rPr>
                <w:rFonts w:ascii="宋体" w:hAnsi="宋体"/>
                <w:kern w:val="0"/>
                <w:szCs w:val="21"/>
              </w:rPr>
              <w:t>网上市</w:t>
            </w:r>
            <w:proofErr w:type="gramEnd"/>
            <w:r>
              <w:rPr>
                <w:rFonts w:ascii="宋体" w:hAnsi="宋体"/>
                <w:kern w:val="0"/>
                <w:szCs w:val="21"/>
              </w:rPr>
              <w:t>企业数量最多，占互联</w:t>
            </w:r>
            <w:proofErr w:type="gramStart"/>
            <w:r>
              <w:rPr>
                <w:rFonts w:ascii="宋体" w:hAnsi="宋体"/>
                <w:kern w:val="0"/>
                <w:szCs w:val="21"/>
              </w:rPr>
              <w:t>网上市</w:t>
            </w:r>
            <w:proofErr w:type="gramEnd"/>
            <w:r>
              <w:rPr>
                <w:rFonts w:ascii="宋体" w:hAnsi="宋体"/>
                <w:kern w:val="0"/>
                <w:szCs w:val="21"/>
              </w:rPr>
              <w:t>企业总体的</w:t>
            </w:r>
            <w:r>
              <w:rPr>
                <w:kern w:val="0"/>
                <w:szCs w:val="21"/>
              </w:rPr>
              <w:t>36.1%</w:t>
            </w:r>
            <w:r>
              <w:rPr>
                <w:rFonts w:ascii="宋体" w:hAnsi="宋体"/>
                <w:kern w:val="0"/>
                <w:szCs w:val="21"/>
              </w:rPr>
              <w:t>；其次为上海，占总体的</w:t>
            </w:r>
            <w:r>
              <w:rPr>
                <w:kern w:val="0"/>
                <w:szCs w:val="21"/>
              </w:rPr>
              <w:t>18.7%</w:t>
            </w:r>
            <w:r>
              <w:rPr>
                <w:rFonts w:ascii="宋体" w:hAnsi="宋体"/>
                <w:kern w:val="0"/>
                <w:szCs w:val="21"/>
              </w:rPr>
              <w:t>；深圳、杭州紧随其后，分别占总体的</w:t>
            </w:r>
            <w:r>
              <w:rPr>
                <w:kern w:val="0"/>
                <w:szCs w:val="21"/>
              </w:rPr>
              <w:t>11.6%</w:t>
            </w:r>
            <w:r>
              <w:rPr>
                <w:rFonts w:ascii="宋体" w:hAnsi="宋体"/>
                <w:kern w:val="0"/>
                <w:szCs w:val="21"/>
              </w:rPr>
              <w:t>和</w:t>
            </w:r>
            <w:r>
              <w:rPr>
                <w:kern w:val="0"/>
                <w:szCs w:val="21"/>
              </w:rPr>
              <w:t>11.0%</w:t>
            </w:r>
            <w:r>
              <w:rPr>
                <w:rFonts w:ascii="宋体" w:hAnsi="宋体"/>
                <w:kern w:val="0"/>
                <w:szCs w:val="21"/>
              </w:rPr>
              <w:t>。在互联</w:t>
            </w:r>
            <w:proofErr w:type="gramStart"/>
            <w:r>
              <w:rPr>
                <w:rFonts w:ascii="宋体" w:hAnsi="宋体"/>
                <w:kern w:val="0"/>
                <w:szCs w:val="21"/>
              </w:rPr>
              <w:t>网上市</w:t>
            </w:r>
            <w:proofErr w:type="gramEnd"/>
            <w:r>
              <w:rPr>
                <w:rFonts w:ascii="宋体" w:hAnsi="宋体"/>
                <w:kern w:val="0"/>
                <w:szCs w:val="21"/>
              </w:rPr>
              <w:t>企业中，网络游戏类企业数量最多，占总体的</w:t>
            </w:r>
            <w:r>
              <w:rPr>
                <w:kern w:val="0"/>
                <w:szCs w:val="21"/>
              </w:rPr>
              <w:t>18.1%</w:t>
            </w:r>
            <w:r>
              <w:rPr>
                <w:rFonts w:ascii="宋体" w:hAnsi="宋体"/>
                <w:kern w:val="0"/>
                <w:szCs w:val="21"/>
              </w:rPr>
              <w:t>；其次是文化娱乐类和电子商务类企业，分别占总体的</w:t>
            </w:r>
            <w:r>
              <w:rPr>
                <w:kern w:val="0"/>
                <w:szCs w:val="21"/>
              </w:rPr>
              <w:t>15.5%</w:t>
            </w:r>
            <w:r>
              <w:rPr>
                <w:rFonts w:ascii="宋体" w:hAnsi="宋体"/>
                <w:kern w:val="0"/>
                <w:szCs w:val="21"/>
              </w:rPr>
              <w:t>和</w:t>
            </w:r>
            <w:r>
              <w:rPr>
                <w:kern w:val="0"/>
                <w:szCs w:val="21"/>
              </w:rPr>
              <w:t>14.2%</w:t>
            </w:r>
            <w:r>
              <w:rPr>
                <w:rFonts w:ascii="宋体" w:hAnsi="宋体"/>
                <w:kern w:val="0"/>
                <w:szCs w:val="21"/>
              </w:rPr>
              <w:t>。</w:t>
            </w:r>
          </w:p>
          <w:p w14:paraId="2CFEADA9" w14:textId="77777777" w:rsidR="008810A2" w:rsidRDefault="00D921E0">
            <w:pPr>
              <w:ind w:firstLine="422"/>
              <w:rPr>
                <w:rFonts w:ascii="宋体" w:hAnsi="宋体"/>
                <w:color w:val="000000" w:themeColor="text1"/>
                <w:szCs w:val="21"/>
              </w:rPr>
            </w:pPr>
            <w:r>
              <w:rPr>
                <w:rFonts w:ascii="宋体" w:hAnsi="宋体" w:hint="eastAsia"/>
                <w:b/>
                <w:color w:val="000000" w:themeColor="text1"/>
                <w:szCs w:val="21"/>
              </w:rPr>
              <w:t>互联网企业</w:t>
            </w:r>
            <w:r>
              <w:rPr>
                <w:rFonts w:ascii="宋体" w:hAnsi="宋体"/>
                <w:b/>
                <w:color w:val="000000" w:themeColor="text1"/>
                <w:szCs w:val="21"/>
              </w:rPr>
              <w:t>开展海外</w:t>
            </w:r>
            <w:r>
              <w:rPr>
                <w:rFonts w:ascii="宋体" w:hAnsi="宋体" w:hint="eastAsia"/>
                <w:b/>
                <w:color w:val="000000" w:themeColor="text1"/>
                <w:szCs w:val="21"/>
              </w:rPr>
              <w:t>商业</w:t>
            </w:r>
            <w:r>
              <w:rPr>
                <w:rFonts w:ascii="宋体" w:hAnsi="宋体"/>
                <w:b/>
                <w:color w:val="000000" w:themeColor="text1"/>
                <w:szCs w:val="21"/>
              </w:rPr>
              <w:t>布局。</w:t>
            </w:r>
            <w:r>
              <w:rPr>
                <w:color w:val="000000" w:themeColor="text1"/>
                <w:szCs w:val="21"/>
              </w:rPr>
              <w:t>2024</w:t>
            </w:r>
            <w:r>
              <w:rPr>
                <w:rFonts w:ascii="宋体" w:hAnsi="宋体" w:hint="eastAsia"/>
                <w:color w:val="000000" w:themeColor="text1"/>
                <w:szCs w:val="21"/>
              </w:rPr>
              <w:t>年</w:t>
            </w:r>
            <w:r w:rsidRPr="00D81E4E">
              <w:rPr>
                <w:color w:val="000000" w:themeColor="text1"/>
                <w:szCs w:val="21"/>
              </w:rPr>
              <w:t>2</w:t>
            </w:r>
            <w:r>
              <w:rPr>
                <w:rFonts w:ascii="宋体" w:hAnsi="宋体" w:hint="eastAsia"/>
                <w:color w:val="000000" w:themeColor="text1"/>
                <w:szCs w:val="21"/>
              </w:rPr>
              <w:t>月，国务院办公厅印发《扎实推进高水平对外开放更大力度吸引和利用外资行动方案》，提出建立健全工作机制，发挥驻外使领馆经商机构作用，支持地方“走出去”“请进来”相结合，常态</w:t>
            </w:r>
            <w:proofErr w:type="gramStart"/>
            <w:r>
              <w:rPr>
                <w:rFonts w:ascii="宋体" w:hAnsi="宋体" w:hint="eastAsia"/>
                <w:color w:val="000000" w:themeColor="text1"/>
                <w:szCs w:val="21"/>
              </w:rPr>
              <w:t>化开展</w:t>
            </w:r>
            <w:proofErr w:type="gramEnd"/>
            <w:r>
              <w:rPr>
                <w:rFonts w:ascii="宋体" w:hAnsi="宋体" w:hint="eastAsia"/>
                <w:color w:val="000000" w:themeColor="text1"/>
                <w:szCs w:val="21"/>
              </w:rPr>
              <w:t>招商引资工作。</w:t>
            </w:r>
            <w:r>
              <w:rPr>
                <w:rFonts w:ascii="宋体" w:hAnsi="宋体"/>
                <w:color w:val="000000" w:themeColor="text1"/>
                <w:szCs w:val="21"/>
              </w:rPr>
              <w:t>上半年，</w:t>
            </w:r>
            <w:r>
              <w:rPr>
                <w:rFonts w:ascii="宋体" w:hAnsi="宋体" w:hint="eastAsia"/>
                <w:color w:val="000000" w:themeColor="text1"/>
                <w:szCs w:val="21"/>
              </w:rPr>
              <w:t>互联网</w:t>
            </w:r>
            <w:r>
              <w:rPr>
                <w:rFonts w:ascii="宋体" w:hAnsi="宋体"/>
                <w:color w:val="000000" w:themeColor="text1"/>
                <w:szCs w:val="21"/>
              </w:rPr>
              <w:t>企业积极</w:t>
            </w:r>
            <w:r>
              <w:rPr>
                <w:rFonts w:ascii="宋体" w:hAnsi="宋体" w:hint="eastAsia"/>
                <w:color w:val="000000" w:themeColor="text1"/>
                <w:szCs w:val="21"/>
              </w:rPr>
              <w:t>进行</w:t>
            </w:r>
            <w:r>
              <w:rPr>
                <w:rFonts w:ascii="宋体" w:hAnsi="宋体"/>
                <w:color w:val="000000" w:themeColor="text1"/>
                <w:szCs w:val="21"/>
              </w:rPr>
              <w:t>海外拓展</w:t>
            </w:r>
            <w:r>
              <w:rPr>
                <w:rFonts w:ascii="宋体" w:hAnsi="宋体" w:hint="eastAsia"/>
                <w:color w:val="000000" w:themeColor="text1"/>
                <w:szCs w:val="21"/>
              </w:rPr>
              <w:t>。</w:t>
            </w:r>
            <w:r>
              <w:rPr>
                <w:rFonts w:ascii="宋体" w:hAnsi="宋体" w:hint="eastAsia"/>
                <w:b/>
                <w:color w:val="000000" w:themeColor="text1"/>
                <w:szCs w:val="21"/>
              </w:rPr>
              <w:t>一是拓展</w:t>
            </w:r>
            <w:r>
              <w:rPr>
                <w:rFonts w:ascii="宋体" w:hAnsi="宋体"/>
                <w:b/>
                <w:color w:val="000000" w:themeColor="text1"/>
                <w:szCs w:val="21"/>
              </w:rPr>
              <w:t>互联网</w:t>
            </w:r>
            <w:r>
              <w:rPr>
                <w:rFonts w:ascii="宋体" w:hAnsi="宋体" w:hint="eastAsia"/>
                <w:b/>
                <w:color w:val="000000" w:themeColor="text1"/>
                <w:szCs w:val="21"/>
              </w:rPr>
              <w:t>业务。</w:t>
            </w:r>
            <w:r>
              <w:rPr>
                <w:rFonts w:ascii="宋体" w:hAnsi="宋体" w:hint="eastAsia"/>
                <w:color w:val="000000" w:themeColor="text1"/>
                <w:szCs w:val="21"/>
              </w:rPr>
              <w:t>除</w:t>
            </w:r>
            <w:r>
              <w:rPr>
                <w:rFonts w:ascii="宋体" w:hAnsi="宋体"/>
                <w:color w:val="000000" w:themeColor="text1"/>
                <w:szCs w:val="21"/>
              </w:rPr>
              <w:t>了</w:t>
            </w:r>
            <w:r>
              <w:rPr>
                <w:color w:val="000000" w:themeColor="text1"/>
                <w:szCs w:val="21"/>
              </w:rPr>
              <w:t>TikTok</w:t>
            </w:r>
            <w:r>
              <w:rPr>
                <w:rFonts w:ascii="宋体" w:hAnsi="宋体" w:hint="eastAsia"/>
                <w:color w:val="000000" w:themeColor="text1"/>
                <w:szCs w:val="21"/>
              </w:rPr>
              <w:t>、</w:t>
            </w:r>
            <w:proofErr w:type="spellStart"/>
            <w:r>
              <w:rPr>
                <w:color w:val="000000" w:themeColor="text1"/>
                <w:szCs w:val="21"/>
              </w:rPr>
              <w:t>Temu</w:t>
            </w:r>
            <w:proofErr w:type="spellEnd"/>
            <w:r>
              <w:rPr>
                <w:rFonts w:ascii="宋体" w:hAnsi="宋体" w:hint="eastAsia"/>
                <w:color w:val="000000" w:themeColor="text1"/>
                <w:szCs w:val="21"/>
              </w:rPr>
              <w:t>等海外</w:t>
            </w:r>
            <w:r>
              <w:rPr>
                <w:rFonts w:ascii="宋体" w:hAnsi="宋体"/>
                <w:color w:val="000000" w:themeColor="text1"/>
                <w:szCs w:val="21"/>
              </w:rPr>
              <w:t>拓展以外，</w:t>
            </w:r>
            <w:r>
              <w:rPr>
                <w:rFonts w:ascii="宋体" w:hAnsi="宋体" w:hint="eastAsia"/>
                <w:color w:val="000000" w:themeColor="text1"/>
                <w:szCs w:val="21"/>
              </w:rPr>
              <w:t>阿里巴巴</w:t>
            </w:r>
            <w:r>
              <w:rPr>
                <w:rFonts w:ascii="宋体" w:hAnsi="宋体"/>
                <w:color w:val="000000" w:themeColor="text1"/>
                <w:szCs w:val="21"/>
              </w:rPr>
              <w:t>等企业也开展海外布局</w:t>
            </w:r>
            <w:r>
              <w:rPr>
                <w:rFonts w:ascii="宋体" w:hAnsi="宋体" w:hint="eastAsia"/>
                <w:color w:val="000000" w:themeColor="text1"/>
                <w:szCs w:val="21"/>
              </w:rPr>
              <w:t>。阿里巴巴旗下的</w:t>
            </w:r>
            <w:proofErr w:type="spellStart"/>
            <w:r>
              <w:rPr>
                <w:color w:val="000000" w:themeColor="text1"/>
                <w:szCs w:val="21"/>
              </w:rPr>
              <w:t>Trendyol</w:t>
            </w:r>
            <w:proofErr w:type="spellEnd"/>
            <w:r>
              <w:rPr>
                <w:rFonts w:ascii="宋体" w:hAnsi="宋体" w:hint="eastAsia"/>
                <w:color w:val="000000" w:themeColor="text1"/>
                <w:szCs w:val="21"/>
              </w:rPr>
              <w:t>进一步拓展在海湾地区的跨境业务。第一季度，</w:t>
            </w:r>
            <w:proofErr w:type="spellStart"/>
            <w:r>
              <w:rPr>
                <w:color w:val="000000" w:themeColor="text1"/>
                <w:szCs w:val="21"/>
              </w:rPr>
              <w:t>Trendyol</w:t>
            </w:r>
            <w:proofErr w:type="spellEnd"/>
            <w:r>
              <w:rPr>
                <w:rFonts w:ascii="宋体" w:hAnsi="宋体" w:hint="eastAsia"/>
                <w:color w:val="000000" w:themeColor="text1"/>
                <w:szCs w:val="21"/>
              </w:rPr>
              <w:t>已成为海湾地区下载量最多的电商</w:t>
            </w:r>
            <w:r>
              <w:rPr>
                <w:color w:val="000000" w:themeColor="text1"/>
                <w:szCs w:val="21"/>
              </w:rPr>
              <w:t>App</w:t>
            </w:r>
            <w:r>
              <w:rPr>
                <w:rFonts w:ascii="宋体" w:hAnsi="宋体" w:hint="eastAsia"/>
                <w:color w:val="000000" w:themeColor="text1"/>
                <w:szCs w:val="21"/>
              </w:rPr>
              <w:t>之一</w:t>
            </w:r>
            <w:r>
              <w:rPr>
                <w:rStyle w:val="affe"/>
                <w:color w:val="000000" w:themeColor="text1"/>
                <w:szCs w:val="21"/>
              </w:rPr>
              <w:footnoteReference w:id="88"/>
            </w:r>
            <w:r>
              <w:rPr>
                <w:rFonts w:ascii="宋体" w:hAnsi="宋体" w:hint="eastAsia"/>
                <w:color w:val="000000" w:themeColor="text1"/>
                <w:szCs w:val="21"/>
              </w:rPr>
              <w:t>。</w:t>
            </w:r>
            <w:r>
              <w:rPr>
                <w:rFonts w:ascii="宋体" w:hAnsi="宋体"/>
                <w:b/>
                <w:color w:val="000000" w:themeColor="text1"/>
                <w:szCs w:val="21"/>
              </w:rPr>
              <w:t>二</w:t>
            </w:r>
            <w:r>
              <w:rPr>
                <w:rFonts w:ascii="宋体" w:hAnsi="宋体" w:hint="eastAsia"/>
                <w:b/>
                <w:color w:val="000000" w:themeColor="text1"/>
                <w:szCs w:val="21"/>
              </w:rPr>
              <w:t>是提供</w:t>
            </w:r>
            <w:r>
              <w:rPr>
                <w:rFonts w:ascii="宋体" w:hAnsi="宋体"/>
                <w:b/>
                <w:color w:val="000000" w:themeColor="text1"/>
                <w:szCs w:val="21"/>
              </w:rPr>
              <w:t>基础</w:t>
            </w:r>
            <w:r>
              <w:rPr>
                <w:rFonts w:ascii="宋体" w:hAnsi="宋体" w:hint="eastAsia"/>
                <w:b/>
                <w:color w:val="000000" w:themeColor="text1"/>
                <w:szCs w:val="21"/>
              </w:rPr>
              <w:t>解决方案</w:t>
            </w:r>
            <w:r>
              <w:rPr>
                <w:rFonts w:ascii="宋体" w:hAnsi="宋体"/>
                <w:b/>
                <w:color w:val="000000" w:themeColor="text1"/>
                <w:szCs w:val="21"/>
              </w:rPr>
              <w:t>。</w:t>
            </w:r>
            <w:proofErr w:type="gramStart"/>
            <w:r>
              <w:rPr>
                <w:rFonts w:ascii="宋体" w:hAnsi="宋体" w:hint="eastAsia"/>
                <w:color w:val="000000" w:themeColor="text1"/>
                <w:szCs w:val="21"/>
              </w:rPr>
              <w:t>腾讯升级</w:t>
            </w:r>
            <w:proofErr w:type="gramEnd"/>
            <w:r>
              <w:rPr>
                <w:rFonts w:ascii="宋体" w:hAnsi="宋体" w:hint="eastAsia"/>
                <w:color w:val="000000" w:themeColor="text1"/>
                <w:szCs w:val="21"/>
              </w:rPr>
              <w:t>汽车出海解决方案，通过增强全球一体化的云服务、智能座舱海外方案等核心能力，助力</w:t>
            </w:r>
            <w:proofErr w:type="gramStart"/>
            <w:r>
              <w:rPr>
                <w:rFonts w:ascii="宋体" w:hAnsi="宋体" w:hint="eastAsia"/>
                <w:color w:val="000000" w:themeColor="text1"/>
                <w:szCs w:val="21"/>
              </w:rPr>
              <w:t>中国车企高质量</w:t>
            </w:r>
            <w:proofErr w:type="gramEnd"/>
            <w:r>
              <w:rPr>
                <w:rFonts w:ascii="宋体" w:hAnsi="宋体" w:hint="eastAsia"/>
                <w:color w:val="000000" w:themeColor="text1"/>
                <w:szCs w:val="21"/>
              </w:rPr>
              <w:t>出海。</w:t>
            </w:r>
            <w:r>
              <w:rPr>
                <w:rFonts w:ascii="宋体" w:hAnsi="宋体" w:hint="eastAsia"/>
                <w:b/>
                <w:color w:val="000000" w:themeColor="text1"/>
                <w:szCs w:val="21"/>
              </w:rPr>
              <w:t>三是构建国际</w:t>
            </w:r>
            <w:r>
              <w:rPr>
                <w:rFonts w:ascii="宋体" w:hAnsi="宋体"/>
                <w:b/>
                <w:color w:val="000000" w:themeColor="text1"/>
                <w:szCs w:val="21"/>
              </w:rPr>
              <w:t>物流</w:t>
            </w:r>
            <w:r>
              <w:rPr>
                <w:rFonts w:ascii="宋体" w:hAnsi="宋体" w:hint="eastAsia"/>
                <w:b/>
                <w:color w:val="000000" w:themeColor="text1"/>
                <w:szCs w:val="21"/>
              </w:rPr>
              <w:t>网络</w:t>
            </w:r>
            <w:r>
              <w:rPr>
                <w:rFonts w:ascii="宋体" w:hAnsi="宋体"/>
                <w:b/>
                <w:color w:val="000000" w:themeColor="text1"/>
                <w:szCs w:val="21"/>
              </w:rPr>
              <w:t>。</w:t>
            </w:r>
            <w:r>
              <w:rPr>
                <w:rFonts w:ascii="宋体" w:hAnsi="宋体" w:hint="eastAsia"/>
                <w:color w:val="000000" w:themeColor="text1"/>
                <w:szCs w:val="21"/>
              </w:rPr>
              <w:t>第一季度，阿里巴巴旗下企业菜鸟将优先产品（如</w:t>
            </w:r>
            <w:r>
              <w:rPr>
                <w:color w:val="000000" w:themeColor="text1"/>
                <w:szCs w:val="21"/>
              </w:rPr>
              <w:t>5</w:t>
            </w:r>
            <w:r>
              <w:rPr>
                <w:rFonts w:ascii="宋体" w:hAnsi="宋体" w:hint="eastAsia"/>
                <w:color w:val="000000" w:themeColor="text1"/>
                <w:szCs w:val="21"/>
              </w:rPr>
              <w:t>日至</w:t>
            </w:r>
            <w:r>
              <w:rPr>
                <w:color w:val="000000" w:themeColor="text1"/>
                <w:szCs w:val="21"/>
              </w:rPr>
              <w:t>10</w:t>
            </w:r>
            <w:r>
              <w:rPr>
                <w:rFonts w:ascii="宋体" w:hAnsi="宋体" w:hint="eastAsia"/>
                <w:color w:val="000000" w:themeColor="text1"/>
                <w:szCs w:val="21"/>
              </w:rPr>
              <w:t>日达）覆盖范围新增</w:t>
            </w:r>
            <w:r>
              <w:rPr>
                <w:color w:val="000000" w:themeColor="text1"/>
                <w:szCs w:val="21"/>
              </w:rPr>
              <w:t>4</w:t>
            </w:r>
            <w:r>
              <w:rPr>
                <w:rFonts w:ascii="宋体" w:hAnsi="宋体" w:hint="eastAsia"/>
                <w:color w:val="000000" w:themeColor="text1"/>
                <w:szCs w:val="21"/>
              </w:rPr>
              <w:t>个国家，累计覆盖</w:t>
            </w:r>
            <w:r>
              <w:rPr>
                <w:color w:val="000000" w:themeColor="text1"/>
                <w:szCs w:val="21"/>
              </w:rPr>
              <w:t>14</w:t>
            </w:r>
            <w:r>
              <w:rPr>
                <w:rFonts w:ascii="宋体" w:hAnsi="宋体" w:hint="eastAsia"/>
                <w:color w:val="000000" w:themeColor="text1"/>
                <w:szCs w:val="21"/>
              </w:rPr>
              <w:t>个国家</w:t>
            </w:r>
            <w:r>
              <w:rPr>
                <w:rStyle w:val="affe"/>
                <w:color w:val="000000" w:themeColor="text1"/>
                <w:szCs w:val="21"/>
              </w:rPr>
              <w:footnoteReference w:id="89"/>
            </w:r>
            <w:r>
              <w:rPr>
                <w:rFonts w:ascii="宋体" w:hAnsi="宋体" w:hint="eastAsia"/>
                <w:color w:val="000000" w:themeColor="text1"/>
                <w:szCs w:val="21"/>
              </w:rPr>
              <w:t>。</w:t>
            </w:r>
          </w:p>
        </w:tc>
      </w:tr>
      <w:tr w:rsidR="008810A2" w14:paraId="0DC4AEE0" w14:textId="77777777">
        <w:tblPrEx>
          <w:jc w:val="center"/>
        </w:tblPrEx>
        <w:trPr>
          <w:trHeight w:val="188"/>
          <w:jc w:val="center"/>
        </w:trPr>
        <w:tc>
          <w:tcPr>
            <w:tcW w:w="8256" w:type="dxa"/>
            <w:tcBorders>
              <w:top w:val="single" w:sz="4" w:space="0" w:color="auto"/>
              <w:left w:val="single" w:sz="4" w:space="0" w:color="auto"/>
              <w:bottom w:val="single" w:sz="4" w:space="0" w:color="auto"/>
              <w:right w:val="single" w:sz="4" w:space="0" w:color="auto"/>
            </w:tcBorders>
            <w:vAlign w:val="center"/>
          </w:tcPr>
          <w:p w14:paraId="0E9BE59F" w14:textId="77777777" w:rsidR="008810A2" w:rsidRDefault="00D921E0">
            <w:pPr>
              <w:ind w:firstLineChars="0" w:firstLine="0"/>
              <w:jc w:val="center"/>
              <w:rPr>
                <w:b/>
                <w:bCs/>
                <w:color w:val="000000" w:themeColor="text1"/>
              </w:rPr>
            </w:pPr>
            <w:r>
              <w:rPr>
                <w:b/>
                <w:bCs/>
                <w:color w:val="000000" w:themeColor="text1"/>
              </w:rPr>
              <w:lastRenderedPageBreak/>
              <w:t>专栏</w:t>
            </w:r>
            <w:r>
              <w:rPr>
                <w:rFonts w:hint="eastAsia"/>
                <w:b/>
                <w:bCs/>
                <w:color w:val="000000" w:themeColor="text1"/>
              </w:rPr>
              <w:t>3</w:t>
            </w:r>
            <w:r>
              <w:rPr>
                <w:b/>
                <w:bCs/>
                <w:color w:val="000000" w:themeColor="text1"/>
              </w:rPr>
              <w:t xml:space="preserve">  </w:t>
            </w:r>
            <w:r>
              <w:rPr>
                <w:rFonts w:hint="eastAsia"/>
                <w:b/>
                <w:bCs/>
                <w:color w:val="000000" w:themeColor="text1"/>
              </w:rPr>
              <w:t>数字消费</w:t>
            </w:r>
          </w:p>
        </w:tc>
      </w:tr>
      <w:tr w:rsidR="008810A2" w14:paraId="1449C2E6" w14:textId="77777777">
        <w:tblPrEx>
          <w:jc w:val="center"/>
        </w:tblPrEx>
        <w:trPr>
          <w:jc w:val="center"/>
        </w:trPr>
        <w:tc>
          <w:tcPr>
            <w:tcW w:w="8256" w:type="dxa"/>
            <w:tcBorders>
              <w:top w:val="single" w:sz="4" w:space="0" w:color="auto"/>
              <w:left w:val="single" w:sz="4" w:space="0" w:color="auto"/>
              <w:bottom w:val="single" w:sz="4" w:space="0" w:color="auto"/>
              <w:right w:val="single" w:sz="4" w:space="0" w:color="auto"/>
            </w:tcBorders>
          </w:tcPr>
          <w:p w14:paraId="4D757DFF" w14:textId="77777777" w:rsidR="008810A2" w:rsidRDefault="00D921E0">
            <w:pPr>
              <w:ind w:firstLine="420"/>
              <w:rPr>
                <w:color w:val="000000" w:themeColor="text1"/>
              </w:rPr>
            </w:pPr>
            <w:r>
              <w:rPr>
                <w:rFonts w:hint="eastAsia"/>
                <w:color w:val="000000" w:themeColor="text1"/>
              </w:rPr>
              <w:t>2024</w:t>
            </w:r>
            <w:r>
              <w:rPr>
                <w:rFonts w:hint="eastAsia"/>
                <w:color w:val="000000" w:themeColor="text1"/>
              </w:rPr>
              <w:t>年《政府工作报告》提出“实施数字消费、绿色消费、健康消费促进政策”，标志着培育壮大数字消费已成为扩大内需、促进经济高质量发展的重要举措。上半年，数字消费保持蓬勃发展势头，逐步成为扩内需、</w:t>
            </w:r>
            <w:proofErr w:type="gramStart"/>
            <w:r>
              <w:rPr>
                <w:rFonts w:hint="eastAsia"/>
                <w:color w:val="000000" w:themeColor="text1"/>
              </w:rPr>
              <w:t>稳增长</w:t>
            </w:r>
            <w:proofErr w:type="gramEnd"/>
            <w:r>
              <w:rPr>
                <w:rFonts w:hint="eastAsia"/>
                <w:color w:val="000000" w:themeColor="text1"/>
              </w:rPr>
              <w:t>和</w:t>
            </w:r>
            <w:proofErr w:type="gramStart"/>
            <w:r>
              <w:rPr>
                <w:rFonts w:hint="eastAsia"/>
                <w:color w:val="000000" w:themeColor="text1"/>
              </w:rPr>
              <w:t>促转型</w:t>
            </w:r>
            <w:proofErr w:type="gramEnd"/>
            <w:r>
              <w:rPr>
                <w:rFonts w:hint="eastAsia"/>
                <w:color w:val="000000" w:themeColor="text1"/>
              </w:rPr>
              <w:t>的重要动力。</w:t>
            </w:r>
          </w:p>
          <w:p w14:paraId="2F6F8970" w14:textId="77777777" w:rsidR="008810A2" w:rsidRDefault="00D921E0">
            <w:pPr>
              <w:ind w:firstLine="422"/>
              <w:rPr>
                <w:b/>
                <w:bCs/>
                <w:color w:val="000000" w:themeColor="text1"/>
              </w:rPr>
            </w:pPr>
            <w:r>
              <w:rPr>
                <w:rFonts w:hint="eastAsia"/>
                <w:b/>
                <w:bCs/>
                <w:color w:val="000000" w:themeColor="text1"/>
              </w:rPr>
              <w:t>数字产品消费方面，智能穿戴、人工智能产品消费兴起。一是</w:t>
            </w:r>
            <w:r>
              <w:rPr>
                <w:rFonts w:hint="eastAsia"/>
                <w:b/>
                <w:bCs/>
                <w:color w:val="000000" w:themeColor="text1"/>
              </w:rPr>
              <w:t>3C</w:t>
            </w:r>
            <w:r>
              <w:rPr>
                <w:rFonts w:hint="eastAsia"/>
                <w:b/>
                <w:bCs/>
                <w:color w:val="000000" w:themeColor="text1"/>
              </w:rPr>
              <w:t>消费复苏增长。</w:t>
            </w:r>
            <w:r>
              <w:rPr>
                <w:rFonts w:hint="eastAsia"/>
                <w:color w:val="000000" w:themeColor="text1"/>
              </w:rPr>
              <w:t>数据显示，最近半</w:t>
            </w:r>
            <w:proofErr w:type="gramStart"/>
            <w:r>
              <w:rPr>
                <w:rFonts w:hint="eastAsia"/>
                <w:color w:val="000000" w:themeColor="text1"/>
              </w:rPr>
              <w:t>年网购</w:t>
            </w:r>
            <w:proofErr w:type="gramEnd"/>
            <w:r>
              <w:rPr>
                <w:rFonts w:hint="eastAsia"/>
                <w:color w:val="000000" w:themeColor="text1"/>
              </w:rPr>
              <w:t>3C</w:t>
            </w:r>
            <w:r>
              <w:rPr>
                <w:rFonts w:hint="eastAsia"/>
                <w:color w:val="000000" w:themeColor="text1"/>
              </w:rPr>
              <w:t>数码产品的用户，占网民的</w:t>
            </w:r>
            <w:r>
              <w:rPr>
                <w:rFonts w:hint="eastAsia"/>
                <w:color w:val="000000" w:themeColor="text1"/>
              </w:rPr>
              <w:t>15.5</w:t>
            </w:r>
            <w:r>
              <w:rPr>
                <w:color w:val="000000" w:themeColor="text1"/>
              </w:rPr>
              <w:t>%</w:t>
            </w:r>
            <w:r>
              <w:rPr>
                <w:rFonts w:hint="eastAsia"/>
                <w:color w:val="000000" w:themeColor="text1"/>
              </w:rPr>
              <w:t>。上半年国内市场</w:t>
            </w:r>
            <w:r>
              <w:rPr>
                <w:rFonts w:hint="eastAsia"/>
                <w:color w:val="000000" w:themeColor="text1"/>
              </w:rPr>
              <w:t>5G</w:t>
            </w:r>
            <w:r>
              <w:rPr>
                <w:rFonts w:hint="eastAsia"/>
                <w:color w:val="000000" w:themeColor="text1"/>
              </w:rPr>
              <w:t>手机出货量同比增长</w:t>
            </w:r>
            <w:r>
              <w:rPr>
                <w:rFonts w:hint="eastAsia"/>
                <w:color w:val="000000" w:themeColor="text1"/>
              </w:rPr>
              <w:t>21.5</w:t>
            </w:r>
            <w:r>
              <w:rPr>
                <w:rFonts w:hint="eastAsia"/>
                <w:color w:val="000000" w:themeColor="text1"/>
              </w:rPr>
              <w:t>％，占同期手机出货量的</w:t>
            </w:r>
            <w:r>
              <w:rPr>
                <w:rFonts w:hint="eastAsia"/>
                <w:color w:val="000000" w:themeColor="text1"/>
              </w:rPr>
              <w:t>84.4</w:t>
            </w:r>
            <w:r>
              <w:rPr>
                <w:rFonts w:hint="eastAsia"/>
                <w:color w:val="000000" w:themeColor="text1"/>
              </w:rPr>
              <w:t>％</w:t>
            </w:r>
            <w:r>
              <w:rPr>
                <w:color w:val="000000" w:themeColor="text1"/>
                <w:vertAlign w:val="superscript"/>
              </w:rPr>
              <w:footnoteReference w:id="90"/>
            </w:r>
            <w:r>
              <w:rPr>
                <w:rFonts w:hint="eastAsia"/>
                <w:color w:val="000000" w:themeColor="text1"/>
              </w:rPr>
              <w:t>。</w:t>
            </w:r>
            <w:r>
              <w:rPr>
                <w:rFonts w:hint="eastAsia"/>
                <w:b/>
                <w:bCs/>
                <w:color w:val="000000" w:themeColor="text1"/>
              </w:rPr>
              <w:t>二是智能穿戴、人工智能产品消费蓬勃发展。</w:t>
            </w:r>
            <w:r>
              <w:rPr>
                <w:rFonts w:hint="eastAsia"/>
                <w:color w:val="000000" w:themeColor="text1"/>
              </w:rPr>
              <w:t>最近半</w:t>
            </w:r>
            <w:proofErr w:type="gramStart"/>
            <w:r>
              <w:rPr>
                <w:rFonts w:hint="eastAsia"/>
                <w:color w:val="000000" w:themeColor="text1"/>
              </w:rPr>
              <w:t>年网购</w:t>
            </w:r>
            <w:proofErr w:type="gramEnd"/>
            <w:r>
              <w:rPr>
                <w:rFonts w:hint="eastAsia"/>
                <w:color w:val="000000" w:themeColor="text1"/>
              </w:rPr>
              <w:t>智能可穿戴设备的用户，占网民的</w:t>
            </w:r>
            <w:r>
              <w:rPr>
                <w:rFonts w:hint="eastAsia"/>
                <w:color w:val="000000" w:themeColor="text1"/>
              </w:rPr>
              <w:t>10.7%</w:t>
            </w:r>
            <w:r>
              <w:rPr>
                <w:rFonts w:hint="eastAsia"/>
                <w:color w:val="000000" w:themeColor="text1"/>
              </w:rPr>
              <w:t>。人工智能相关产品数字消费增长</w:t>
            </w:r>
            <w:r>
              <w:rPr>
                <w:rFonts w:hint="eastAsia"/>
                <w:color w:val="000000" w:themeColor="text1"/>
              </w:rPr>
              <w:t>20.8%</w:t>
            </w:r>
            <w:r>
              <w:rPr>
                <w:rStyle w:val="affe"/>
                <w:color w:val="000000" w:themeColor="text1"/>
              </w:rPr>
              <w:footnoteReference w:id="91"/>
            </w:r>
            <w:r>
              <w:rPr>
                <w:rFonts w:hint="eastAsia"/>
                <w:color w:val="000000" w:themeColor="text1"/>
              </w:rPr>
              <w:t>，上半年</w:t>
            </w:r>
            <w:r>
              <w:rPr>
                <w:rFonts w:hint="eastAsia"/>
                <w:color w:val="000000" w:themeColor="text1"/>
              </w:rPr>
              <w:t>AI</w:t>
            </w:r>
            <w:r>
              <w:rPr>
                <w:rFonts w:hint="eastAsia"/>
                <w:color w:val="000000" w:themeColor="text1"/>
              </w:rPr>
              <w:t>学习机增长</w:t>
            </w:r>
            <w:r>
              <w:rPr>
                <w:rFonts w:hint="eastAsia"/>
                <w:color w:val="000000" w:themeColor="text1"/>
              </w:rPr>
              <w:t>136.6%</w:t>
            </w:r>
            <w:r>
              <w:rPr>
                <w:rStyle w:val="affe"/>
                <w:color w:val="000000" w:themeColor="text1"/>
              </w:rPr>
              <w:footnoteReference w:id="92"/>
            </w:r>
            <w:r>
              <w:rPr>
                <w:rFonts w:hint="eastAsia"/>
                <w:color w:val="000000" w:themeColor="text1"/>
              </w:rPr>
              <w:t>。未来随着人工智能加速落地，将进一步带动相关产品消费快速增长。</w:t>
            </w:r>
          </w:p>
          <w:p w14:paraId="64F85372" w14:textId="77777777" w:rsidR="008810A2" w:rsidRDefault="00D921E0">
            <w:pPr>
              <w:ind w:firstLine="422"/>
              <w:rPr>
                <w:b/>
                <w:bCs/>
                <w:color w:val="000000" w:themeColor="text1"/>
              </w:rPr>
            </w:pPr>
            <w:r>
              <w:rPr>
                <w:rFonts w:hint="eastAsia"/>
                <w:b/>
                <w:bCs/>
                <w:color w:val="000000" w:themeColor="text1"/>
              </w:rPr>
              <w:t>数字服务消费方面，</w:t>
            </w:r>
            <w:proofErr w:type="gramStart"/>
            <w:r>
              <w:rPr>
                <w:rFonts w:hint="eastAsia"/>
                <w:b/>
                <w:bCs/>
                <w:color w:val="000000" w:themeColor="text1"/>
              </w:rPr>
              <w:t>文旅及</w:t>
            </w:r>
            <w:proofErr w:type="gramEnd"/>
            <w:r>
              <w:rPr>
                <w:rFonts w:hint="eastAsia"/>
                <w:b/>
                <w:bCs/>
                <w:color w:val="000000" w:themeColor="text1"/>
              </w:rPr>
              <w:t>生活服务类消费增长强劲。一是</w:t>
            </w:r>
            <w:proofErr w:type="gramStart"/>
            <w:r>
              <w:rPr>
                <w:rFonts w:hint="eastAsia"/>
                <w:b/>
                <w:bCs/>
                <w:color w:val="000000" w:themeColor="text1"/>
              </w:rPr>
              <w:t>在线文旅保持</w:t>
            </w:r>
            <w:proofErr w:type="gramEnd"/>
            <w:r>
              <w:rPr>
                <w:rFonts w:hint="eastAsia"/>
                <w:b/>
                <w:bCs/>
                <w:color w:val="000000" w:themeColor="text1"/>
              </w:rPr>
              <w:t>较快增长。</w:t>
            </w:r>
            <w:r>
              <w:rPr>
                <w:rFonts w:hint="eastAsia"/>
                <w:color w:val="000000" w:themeColor="text1"/>
              </w:rPr>
              <w:t>上半年，</w:t>
            </w:r>
            <w:r>
              <w:rPr>
                <w:rFonts w:hint="eastAsia"/>
                <w:color w:val="000000" w:themeColor="text1"/>
                <w:szCs w:val="21"/>
              </w:rPr>
              <w:t>短视频内容持续引爆</w:t>
            </w:r>
            <w:proofErr w:type="gramStart"/>
            <w:r>
              <w:rPr>
                <w:rFonts w:hint="eastAsia"/>
                <w:color w:val="000000" w:themeColor="text1"/>
                <w:szCs w:val="21"/>
              </w:rPr>
              <w:t>多个文旅热点</w:t>
            </w:r>
            <w:proofErr w:type="gramEnd"/>
            <w:r>
              <w:rPr>
                <w:rFonts w:hint="eastAsia"/>
                <w:color w:val="000000" w:themeColor="text1"/>
                <w:szCs w:val="21"/>
              </w:rPr>
              <w:t>，演唱会等大型演出市场持续增长，带动在线旅游和文娱消费蓬勃发展。数据显示，上半年</w:t>
            </w:r>
            <w:r>
              <w:rPr>
                <w:rFonts w:hint="eastAsia"/>
                <w:color w:val="000000" w:themeColor="text1"/>
              </w:rPr>
              <w:t>重点监测在线旅游增长</w:t>
            </w:r>
            <w:r>
              <w:rPr>
                <w:rFonts w:hint="eastAsia"/>
                <w:color w:val="000000" w:themeColor="text1"/>
              </w:rPr>
              <w:t>59.9</w:t>
            </w:r>
            <w:r>
              <w:rPr>
                <w:color w:val="000000" w:themeColor="text1"/>
              </w:rPr>
              <w:t>%</w:t>
            </w:r>
            <w:r>
              <w:rPr>
                <w:rStyle w:val="affe"/>
                <w:color w:val="000000" w:themeColor="text1"/>
              </w:rPr>
              <w:footnoteReference w:id="93"/>
            </w:r>
            <w:r>
              <w:rPr>
                <w:rFonts w:hint="eastAsia"/>
                <w:color w:val="000000" w:themeColor="text1"/>
              </w:rPr>
              <w:t>，通过线上预订消费演唱会</w:t>
            </w:r>
            <w:r>
              <w:rPr>
                <w:rFonts w:hint="eastAsia"/>
                <w:color w:val="000000" w:themeColor="text1"/>
              </w:rPr>
              <w:t>/</w:t>
            </w:r>
            <w:r>
              <w:rPr>
                <w:rFonts w:hint="eastAsia"/>
                <w:color w:val="000000" w:themeColor="text1"/>
              </w:rPr>
              <w:t>音乐节等演出活动、电影及</w:t>
            </w:r>
            <w:r>
              <w:rPr>
                <w:rFonts w:hint="eastAsia"/>
                <w:color w:val="000000" w:themeColor="text1"/>
              </w:rPr>
              <w:t>KTV</w:t>
            </w:r>
            <w:r>
              <w:rPr>
                <w:rFonts w:hint="eastAsia"/>
                <w:color w:val="000000" w:themeColor="text1"/>
              </w:rPr>
              <w:t>等休闲娱乐服务的用户，分别占网民的</w:t>
            </w:r>
            <w:r>
              <w:rPr>
                <w:rFonts w:hint="eastAsia"/>
                <w:color w:val="000000" w:themeColor="text1"/>
              </w:rPr>
              <w:t>6.6%</w:t>
            </w:r>
            <w:r>
              <w:rPr>
                <w:rFonts w:hint="eastAsia"/>
                <w:color w:val="000000" w:themeColor="text1"/>
              </w:rPr>
              <w:t>和</w:t>
            </w:r>
            <w:r>
              <w:rPr>
                <w:rFonts w:hint="eastAsia"/>
                <w:color w:val="000000" w:themeColor="text1"/>
              </w:rPr>
              <w:t>17.3%</w:t>
            </w:r>
            <w:r>
              <w:rPr>
                <w:rFonts w:hint="eastAsia"/>
                <w:color w:val="000000" w:themeColor="text1"/>
              </w:rPr>
              <w:t>。</w:t>
            </w:r>
            <w:r>
              <w:rPr>
                <w:rFonts w:hint="eastAsia"/>
                <w:b/>
                <w:bCs/>
                <w:color w:val="000000" w:themeColor="text1"/>
              </w:rPr>
              <w:t>二是在线餐饮等生活服务消费日益普及。</w:t>
            </w:r>
            <w:r>
              <w:rPr>
                <w:rFonts w:hint="eastAsia"/>
                <w:color w:val="000000" w:themeColor="text1"/>
              </w:rPr>
              <w:t>上半年，重点监测在线餐饮增长</w:t>
            </w:r>
            <w:r>
              <w:rPr>
                <w:rFonts w:hint="eastAsia"/>
                <w:color w:val="000000" w:themeColor="text1"/>
              </w:rPr>
              <w:t>21.7%</w:t>
            </w:r>
            <w:r>
              <w:rPr>
                <w:rStyle w:val="affe"/>
                <w:color w:val="000000" w:themeColor="text1"/>
              </w:rPr>
              <w:footnoteReference w:id="94"/>
            </w:r>
            <w:r>
              <w:rPr>
                <w:rFonts w:hint="eastAsia"/>
                <w:color w:val="000000" w:themeColor="text1"/>
              </w:rPr>
              <w:t>，最近半</w:t>
            </w:r>
            <w:proofErr w:type="gramStart"/>
            <w:r>
              <w:rPr>
                <w:rFonts w:hint="eastAsia"/>
                <w:color w:val="000000" w:themeColor="text1"/>
              </w:rPr>
              <w:t>年购买</w:t>
            </w:r>
            <w:proofErr w:type="gramEnd"/>
            <w:r>
              <w:rPr>
                <w:rFonts w:hint="eastAsia"/>
                <w:color w:val="000000" w:themeColor="text1"/>
              </w:rPr>
              <w:t>过网上外卖服务、购买到店餐饮团</w:t>
            </w:r>
            <w:proofErr w:type="gramStart"/>
            <w:r>
              <w:rPr>
                <w:rFonts w:hint="eastAsia"/>
                <w:color w:val="000000" w:themeColor="text1"/>
              </w:rPr>
              <w:t>购服务</w:t>
            </w:r>
            <w:proofErr w:type="gramEnd"/>
            <w:r>
              <w:rPr>
                <w:rFonts w:hint="eastAsia"/>
                <w:color w:val="000000" w:themeColor="text1"/>
              </w:rPr>
              <w:t>的用户，分别占网民的</w:t>
            </w:r>
            <w:r>
              <w:rPr>
                <w:rFonts w:hint="eastAsia"/>
                <w:color w:val="000000" w:themeColor="text1"/>
              </w:rPr>
              <w:t>50.3%</w:t>
            </w:r>
            <w:r>
              <w:rPr>
                <w:rFonts w:hint="eastAsia"/>
                <w:color w:val="000000" w:themeColor="text1"/>
              </w:rPr>
              <w:t>和</w:t>
            </w:r>
            <w:r>
              <w:rPr>
                <w:rFonts w:hint="eastAsia"/>
                <w:color w:val="000000" w:themeColor="text1"/>
              </w:rPr>
              <w:t>20.7%</w:t>
            </w:r>
            <w:r>
              <w:rPr>
                <w:rFonts w:hint="eastAsia"/>
                <w:color w:val="000000" w:themeColor="text1"/>
              </w:rPr>
              <w:t>；购买过共享服务、跑腿代办、在线家政维修等生活服务的用户，分别占网民的</w:t>
            </w:r>
            <w:r>
              <w:rPr>
                <w:rFonts w:hint="eastAsia"/>
                <w:color w:val="000000" w:themeColor="text1"/>
              </w:rPr>
              <w:t>27.7%</w:t>
            </w:r>
            <w:r>
              <w:rPr>
                <w:rFonts w:hint="eastAsia"/>
                <w:color w:val="000000" w:themeColor="text1"/>
              </w:rPr>
              <w:t>、</w:t>
            </w:r>
            <w:r>
              <w:rPr>
                <w:rFonts w:hint="eastAsia"/>
                <w:color w:val="000000" w:themeColor="text1"/>
              </w:rPr>
              <w:t>10.8%</w:t>
            </w:r>
            <w:r>
              <w:rPr>
                <w:rFonts w:hint="eastAsia"/>
                <w:color w:val="000000" w:themeColor="text1"/>
              </w:rPr>
              <w:t>和</w:t>
            </w:r>
            <w:r>
              <w:rPr>
                <w:rFonts w:hint="eastAsia"/>
                <w:color w:val="000000" w:themeColor="text1"/>
              </w:rPr>
              <w:t>7.9%</w:t>
            </w:r>
            <w:r>
              <w:rPr>
                <w:rFonts w:hint="eastAsia"/>
                <w:color w:val="000000" w:themeColor="text1"/>
              </w:rPr>
              <w:t>。</w:t>
            </w:r>
          </w:p>
          <w:p w14:paraId="25A61A60" w14:textId="77777777" w:rsidR="008810A2" w:rsidRDefault="00D921E0">
            <w:pPr>
              <w:ind w:firstLine="422"/>
              <w:rPr>
                <w:color w:val="000000" w:themeColor="text1"/>
                <w:szCs w:val="21"/>
              </w:rPr>
            </w:pPr>
            <w:r>
              <w:rPr>
                <w:rFonts w:hint="eastAsia"/>
                <w:b/>
                <w:bCs/>
                <w:color w:val="000000" w:themeColor="text1"/>
              </w:rPr>
              <w:t>数字内容消费方面，影音娱乐付费意愿相对较高。一是数字内容繁荣发展。</w:t>
            </w:r>
            <w:r>
              <w:rPr>
                <w:rFonts w:hint="eastAsia"/>
                <w:color w:val="000000" w:themeColor="text1"/>
              </w:rPr>
              <w:t>随着生成式人工智能的加速应用</w:t>
            </w:r>
            <w:r>
              <w:rPr>
                <w:rFonts w:hint="eastAsia"/>
                <w:color w:val="000000" w:themeColor="text1"/>
                <w:szCs w:val="21"/>
              </w:rPr>
              <w:t>，网络视频、网络音乐及网络游戏等各类数字内容创新发展。网剧、网文、</w:t>
            </w:r>
            <w:proofErr w:type="gramStart"/>
            <w:r>
              <w:rPr>
                <w:rFonts w:hint="eastAsia"/>
                <w:color w:val="000000" w:themeColor="text1"/>
                <w:szCs w:val="21"/>
              </w:rPr>
              <w:t>网游等</w:t>
            </w:r>
            <w:proofErr w:type="gramEnd"/>
            <w:r>
              <w:rPr>
                <w:rFonts w:hint="eastAsia"/>
                <w:color w:val="000000" w:themeColor="text1"/>
                <w:szCs w:val="21"/>
              </w:rPr>
              <w:t>数字内容更是成为文化出海</w:t>
            </w:r>
            <w:r>
              <w:rPr>
                <w:rFonts w:ascii="宋体" w:hAnsi="宋体" w:hint="eastAsia"/>
                <w:color w:val="000000" w:themeColor="text1"/>
                <w:szCs w:val="21"/>
              </w:rPr>
              <w:t>“</w:t>
            </w:r>
            <w:r>
              <w:rPr>
                <w:rFonts w:hint="eastAsia"/>
                <w:color w:val="000000" w:themeColor="text1"/>
                <w:szCs w:val="21"/>
              </w:rPr>
              <w:t>新三样</w:t>
            </w:r>
            <w:r>
              <w:rPr>
                <w:rFonts w:ascii="宋体" w:hAnsi="宋体" w:hint="eastAsia"/>
                <w:color w:val="000000" w:themeColor="text1"/>
                <w:szCs w:val="21"/>
              </w:rPr>
              <w:t>”</w:t>
            </w:r>
            <w:r>
              <w:rPr>
                <w:rFonts w:hint="eastAsia"/>
                <w:color w:val="000000" w:themeColor="text1"/>
                <w:szCs w:val="21"/>
              </w:rPr>
              <w:t>，持续扩大我国文化产业影响力。</w:t>
            </w:r>
            <w:r>
              <w:rPr>
                <w:rFonts w:hint="eastAsia"/>
                <w:b/>
                <w:bCs/>
                <w:color w:val="000000" w:themeColor="text1"/>
                <w:szCs w:val="21"/>
              </w:rPr>
              <w:t>二是影音类数字内容付费意愿逐步形成。</w:t>
            </w:r>
            <w:r>
              <w:rPr>
                <w:rFonts w:hint="eastAsia"/>
                <w:color w:val="000000" w:themeColor="text1"/>
                <w:szCs w:val="21"/>
              </w:rPr>
              <w:t>随着数字内容的</w:t>
            </w:r>
            <w:r>
              <w:rPr>
                <w:rFonts w:hint="eastAsia"/>
                <w:color w:val="000000" w:themeColor="text1"/>
              </w:rPr>
              <w:t>版权保护机制日益完善</w:t>
            </w:r>
            <w:r>
              <w:rPr>
                <w:rFonts w:hint="eastAsia"/>
                <w:color w:val="000000" w:themeColor="text1"/>
                <w:szCs w:val="21"/>
              </w:rPr>
              <w:t>，用户数字付费意识日益增强。</w:t>
            </w:r>
            <w:proofErr w:type="gramStart"/>
            <w:r>
              <w:rPr>
                <w:rFonts w:hint="eastAsia"/>
                <w:color w:val="000000" w:themeColor="text1"/>
                <w:szCs w:val="21"/>
              </w:rPr>
              <w:t>从付费率</w:t>
            </w:r>
            <w:proofErr w:type="gramEnd"/>
            <w:r>
              <w:rPr>
                <w:rFonts w:hint="eastAsia"/>
                <w:color w:val="000000" w:themeColor="text1"/>
                <w:szCs w:val="21"/>
              </w:rPr>
              <w:t>来看，消费者对文化娱乐类的数字内容付费表现出较强意愿，其中，电影电视剧等长视频、网络音乐付费率最高，分别达到</w:t>
            </w:r>
            <w:r>
              <w:rPr>
                <w:color w:val="000000" w:themeColor="text1"/>
                <w:szCs w:val="21"/>
              </w:rPr>
              <w:t>28.7%</w:t>
            </w:r>
            <w:r>
              <w:rPr>
                <w:rFonts w:hint="eastAsia"/>
                <w:color w:val="000000" w:themeColor="text1"/>
                <w:szCs w:val="21"/>
              </w:rPr>
              <w:t>和</w:t>
            </w:r>
            <w:r>
              <w:rPr>
                <w:color w:val="000000" w:themeColor="text1"/>
                <w:szCs w:val="21"/>
              </w:rPr>
              <w:lastRenderedPageBreak/>
              <w:t>23.9%</w:t>
            </w:r>
            <w:r>
              <w:rPr>
                <w:rStyle w:val="affe"/>
                <w:color w:val="000000" w:themeColor="text1"/>
                <w:szCs w:val="21"/>
              </w:rPr>
              <w:footnoteReference w:id="95"/>
            </w:r>
            <w:r>
              <w:rPr>
                <w:rFonts w:hint="eastAsia"/>
                <w:color w:val="000000" w:themeColor="text1"/>
                <w:szCs w:val="21"/>
              </w:rPr>
              <w:t>。</w:t>
            </w:r>
          </w:p>
          <w:p w14:paraId="704EA62B" w14:textId="77777777" w:rsidR="008810A2" w:rsidRDefault="00D921E0">
            <w:pPr>
              <w:ind w:firstLine="422"/>
              <w:rPr>
                <w:rFonts w:ascii="Helvetica" w:hAnsi="Helvetica"/>
                <w:color w:val="333333"/>
                <w:spacing w:val="11"/>
                <w:sz w:val="20"/>
                <w:szCs w:val="20"/>
              </w:rPr>
            </w:pPr>
            <w:r>
              <w:rPr>
                <w:rFonts w:hint="eastAsia"/>
                <w:b/>
                <w:bCs/>
                <w:color w:val="000000" w:themeColor="text1"/>
                <w:szCs w:val="21"/>
              </w:rPr>
              <w:t>数字渠道消费方面，多元模式推动跨境、城乡及同城消费。一是跨境电商联接国内国际消费。</w:t>
            </w:r>
            <w:r>
              <w:rPr>
                <w:rFonts w:hint="eastAsia"/>
                <w:color w:val="000000" w:themeColor="text1"/>
                <w:szCs w:val="21"/>
              </w:rPr>
              <w:t>境外优质产品通过跨境电商平台</w:t>
            </w:r>
            <w:proofErr w:type="gramStart"/>
            <w:r>
              <w:rPr>
                <w:rFonts w:hint="eastAsia"/>
                <w:color w:val="000000" w:themeColor="text1"/>
                <w:szCs w:val="21"/>
              </w:rPr>
              <w:t>触达更多</w:t>
            </w:r>
            <w:proofErr w:type="gramEnd"/>
            <w:r>
              <w:rPr>
                <w:rFonts w:hint="eastAsia"/>
                <w:color w:val="000000" w:themeColor="text1"/>
                <w:szCs w:val="21"/>
              </w:rPr>
              <w:t>的消费者，让消费者在国内轻松实现“买全球”。</w:t>
            </w:r>
            <w:r>
              <w:rPr>
                <w:rFonts w:hint="eastAsia"/>
                <w:color w:val="000000" w:themeColor="text1"/>
                <w:szCs w:val="21"/>
              </w:rPr>
              <w:t>2024</w:t>
            </w:r>
            <w:r>
              <w:rPr>
                <w:rFonts w:hint="eastAsia"/>
                <w:color w:val="000000" w:themeColor="text1"/>
                <w:szCs w:val="21"/>
              </w:rPr>
              <w:t>年上半年，我国跨境电商进出口</w:t>
            </w:r>
            <w:r>
              <w:rPr>
                <w:rFonts w:hint="eastAsia"/>
                <w:color w:val="000000" w:themeColor="text1"/>
                <w:szCs w:val="21"/>
              </w:rPr>
              <w:t>1.22</w:t>
            </w:r>
            <w:proofErr w:type="gramStart"/>
            <w:r>
              <w:rPr>
                <w:rFonts w:hint="eastAsia"/>
                <w:color w:val="000000" w:themeColor="text1"/>
                <w:szCs w:val="21"/>
              </w:rPr>
              <w:t>万亿</w:t>
            </w:r>
            <w:proofErr w:type="gramEnd"/>
            <w:r>
              <w:rPr>
                <w:rFonts w:hint="eastAsia"/>
                <w:color w:val="000000" w:themeColor="text1"/>
                <w:szCs w:val="21"/>
              </w:rPr>
              <w:t>元，同比增长</w:t>
            </w:r>
            <w:r>
              <w:rPr>
                <w:color w:val="000000" w:themeColor="text1"/>
                <w:szCs w:val="21"/>
              </w:rPr>
              <w:t>10.5</w:t>
            </w:r>
            <w:r>
              <w:rPr>
                <w:rFonts w:hint="eastAsia"/>
                <w:color w:val="000000" w:themeColor="text1"/>
                <w:szCs w:val="21"/>
              </w:rPr>
              <w:t>%</w:t>
            </w:r>
            <w:r>
              <w:rPr>
                <w:rFonts w:hint="eastAsia"/>
                <w:color w:val="000000" w:themeColor="text1"/>
                <w:szCs w:val="21"/>
              </w:rPr>
              <w:t>，高于同期我国外贸整体增速</w:t>
            </w:r>
            <w:r>
              <w:rPr>
                <w:rFonts w:hint="eastAsia"/>
                <w:color w:val="000000" w:themeColor="text1"/>
                <w:szCs w:val="21"/>
              </w:rPr>
              <w:t>4.4</w:t>
            </w:r>
            <w:r>
              <w:rPr>
                <w:rFonts w:hint="eastAsia"/>
                <w:color w:val="000000" w:themeColor="text1"/>
                <w:szCs w:val="21"/>
              </w:rPr>
              <w:t>个百分点</w:t>
            </w:r>
            <w:r>
              <w:rPr>
                <w:rStyle w:val="affe"/>
                <w:color w:val="000000" w:themeColor="text1"/>
                <w:szCs w:val="21"/>
              </w:rPr>
              <w:footnoteReference w:id="96"/>
            </w:r>
            <w:r>
              <w:rPr>
                <w:rFonts w:hint="eastAsia"/>
                <w:color w:val="000000" w:themeColor="text1"/>
                <w:szCs w:val="21"/>
              </w:rPr>
              <w:t>。</w:t>
            </w:r>
            <w:r>
              <w:rPr>
                <w:rFonts w:hint="eastAsia"/>
                <w:b/>
                <w:bCs/>
                <w:color w:val="000000" w:themeColor="text1"/>
                <w:szCs w:val="21"/>
              </w:rPr>
              <w:t>二是农村电商模式打通城乡消费。</w:t>
            </w:r>
            <w:r>
              <w:rPr>
                <w:rFonts w:hint="eastAsia"/>
                <w:color w:val="000000" w:themeColor="text1"/>
                <w:szCs w:val="21"/>
              </w:rPr>
              <w:t>随着电商平台服务和物流体系在农村地区的不断完善，农村数字消费进一步展现蓬勃发展势头。上半年全国农村网络零售额同比增长</w:t>
            </w:r>
            <w:r>
              <w:rPr>
                <w:rFonts w:hint="eastAsia"/>
                <w:color w:val="000000" w:themeColor="text1"/>
                <w:szCs w:val="21"/>
              </w:rPr>
              <w:t>9.4</w:t>
            </w:r>
            <w:r>
              <w:rPr>
                <w:color w:val="000000" w:themeColor="text1"/>
                <w:szCs w:val="21"/>
              </w:rPr>
              <w:t>%</w:t>
            </w:r>
            <w:r>
              <w:rPr>
                <w:rFonts w:hint="eastAsia"/>
                <w:color w:val="000000" w:themeColor="text1"/>
                <w:szCs w:val="21"/>
              </w:rPr>
              <w:t>，农产品网络零售额同比增长</w:t>
            </w:r>
            <w:r>
              <w:rPr>
                <w:color w:val="000000" w:themeColor="text1"/>
                <w:szCs w:val="21"/>
              </w:rPr>
              <w:t>2</w:t>
            </w:r>
            <w:r>
              <w:rPr>
                <w:rFonts w:hint="eastAsia"/>
                <w:color w:val="000000" w:themeColor="text1"/>
                <w:szCs w:val="21"/>
              </w:rPr>
              <w:t>1.7</w:t>
            </w:r>
            <w:r>
              <w:rPr>
                <w:color w:val="000000" w:themeColor="text1"/>
                <w:szCs w:val="21"/>
              </w:rPr>
              <w:t>%</w:t>
            </w:r>
            <w:r>
              <w:rPr>
                <w:rStyle w:val="affe"/>
                <w:color w:val="000000" w:themeColor="text1"/>
                <w:szCs w:val="21"/>
              </w:rPr>
              <w:footnoteReference w:id="97"/>
            </w:r>
            <w:r>
              <w:rPr>
                <w:rFonts w:hint="eastAsia"/>
                <w:color w:val="000000" w:themeColor="text1"/>
                <w:szCs w:val="21"/>
              </w:rPr>
              <w:t>。</w:t>
            </w:r>
            <w:r>
              <w:rPr>
                <w:rFonts w:hint="eastAsia"/>
                <w:b/>
                <w:bCs/>
                <w:color w:val="000000" w:themeColor="text1"/>
                <w:szCs w:val="21"/>
              </w:rPr>
              <w:t>三是即时零售模式便利同城消费。</w:t>
            </w:r>
            <w:r>
              <w:rPr>
                <w:rFonts w:hint="eastAsia"/>
                <w:color w:val="000000" w:themeColor="text1"/>
                <w:szCs w:val="21"/>
              </w:rPr>
              <w:t>通过线上下单、线下即时配送等方式，即时零售构建起“一刻钟”便民生活服务圈。数据显示，最近半年使用过“同城达”等即时配送的用户，</w:t>
            </w:r>
            <w:proofErr w:type="gramStart"/>
            <w:r>
              <w:rPr>
                <w:rFonts w:hint="eastAsia"/>
                <w:color w:val="000000" w:themeColor="text1"/>
                <w:szCs w:val="21"/>
              </w:rPr>
              <w:t>占网购用户</w:t>
            </w:r>
            <w:proofErr w:type="gramEnd"/>
            <w:r>
              <w:rPr>
                <w:rFonts w:hint="eastAsia"/>
                <w:color w:val="000000" w:themeColor="text1"/>
                <w:szCs w:val="21"/>
              </w:rPr>
              <w:t>的</w:t>
            </w:r>
            <w:r>
              <w:rPr>
                <w:rFonts w:hint="eastAsia"/>
                <w:color w:val="000000" w:themeColor="text1"/>
                <w:szCs w:val="21"/>
              </w:rPr>
              <w:t>26.4%</w:t>
            </w:r>
            <w:r>
              <w:rPr>
                <w:rStyle w:val="affe"/>
                <w:color w:val="000000" w:themeColor="text1"/>
                <w:szCs w:val="21"/>
              </w:rPr>
              <w:footnoteReference w:id="98"/>
            </w:r>
            <w:r>
              <w:rPr>
                <w:rFonts w:hint="eastAsia"/>
                <w:color w:val="000000" w:themeColor="text1"/>
                <w:szCs w:val="21"/>
              </w:rPr>
              <w:t>。</w:t>
            </w:r>
          </w:p>
        </w:tc>
      </w:tr>
    </w:tbl>
    <w:p w14:paraId="6CC6AE05" w14:textId="77777777" w:rsidR="008810A2" w:rsidRDefault="008810A2" w:rsidP="002B0D05">
      <w:pPr>
        <w:pStyle w:val="a4"/>
      </w:pPr>
    </w:p>
    <w:p w14:paraId="1D0EE610" w14:textId="77777777" w:rsidR="008810A2" w:rsidRDefault="00D921E0">
      <w:pPr>
        <w:ind w:firstLine="1044"/>
        <w:rPr>
          <w:rFonts w:eastAsia="仿宋_GB2312"/>
          <w:b/>
          <w:color w:val="000000" w:themeColor="text1"/>
          <w:sz w:val="52"/>
          <w:szCs w:val="52"/>
        </w:rPr>
      </w:pPr>
      <w:r>
        <w:rPr>
          <w:rFonts w:eastAsia="仿宋_GB2312"/>
          <w:b/>
          <w:color w:val="000000" w:themeColor="text1"/>
          <w:sz w:val="52"/>
          <w:szCs w:val="52"/>
        </w:rPr>
        <w:br w:type="page"/>
      </w:r>
    </w:p>
    <w:p w14:paraId="5F9CAB2F" w14:textId="77777777" w:rsidR="008810A2" w:rsidRDefault="00D921E0">
      <w:pPr>
        <w:pStyle w:val="1"/>
        <w:spacing w:before="120" w:after="600" w:line="312" w:lineRule="auto"/>
        <w:ind w:firstLineChars="0" w:firstLine="0"/>
        <w:rPr>
          <w:rFonts w:eastAsia="仿宋_GB2312"/>
          <w:b/>
          <w:color w:val="000000" w:themeColor="text1"/>
          <w:sz w:val="52"/>
          <w:szCs w:val="52"/>
        </w:rPr>
      </w:pPr>
      <w:bookmarkStart w:id="294" w:name="_Toc175065729"/>
      <w:r>
        <w:rPr>
          <w:rFonts w:eastAsia="仿宋_GB2312"/>
          <w:b/>
          <w:color w:val="000000" w:themeColor="text1"/>
          <w:sz w:val="52"/>
          <w:szCs w:val="52"/>
        </w:rPr>
        <w:lastRenderedPageBreak/>
        <w:t>附录</w:t>
      </w:r>
      <w:proofErr w:type="gramStart"/>
      <w:r>
        <w:rPr>
          <w:rFonts w:eastAsia="仿宋_GB2312"/>
          <w:b/>
          <w:color w:val="000000" w:themeColor="text1"/>
          <w:sz w:val="52"/>
          <w:szCs w:val="52"/>
        </w:rPr>
        <w:t>一</w:t>
      </w:r>
      <w:proofErr w:type="gramEnd"/>
      <w:r>
        <w:rPr>
          <w:rFonts w:eastAsia="仿宋_GB2312" w:hint="eastAsia"/>
          <w:b/>
          <w:color w:val="000000" w:themeColor="text1"/>
          <w:sz w:val="52"/>
          <w:szCs w:val="52"/>
        </w:rPr>
        <w:t xml:space="preserve"> </w:t>
      </w:r>
      <w:r>
        <w:rPr>
          <w:rFonts w:eastAsia="仿宋_GB2312"/>
          <w:b/>
          <w:color w:val="000000" w:themeColor="text1"/>
          <w:sz w:val="52"/>
          <w:szCs w:val="52"/>
        </w:rPr>
        <w:t>调查方法</w:t>
      </w:r>
      <w:bookmarkEnd w:id="294"/>
    </w:p>
    <w:p w14:paraId="18600CD5" w14:textId="77777777" w:rsidR="008810A2" w:rsidRDefault="00D921E0">
      <w:pPr>
        <w:keepNext/>
        <w:keepLines/>
        <w:numPr>
          <w:ilvl w:val="0"/>
          <w:numId w:val="15"/>
        </w:numPr>
        <w:topLinePunct/>
        <w:snapToGrid w:val="0"/>
        <w:spacing w:before="400" w:after="300" w:line="312" w:lineRule="auto"/>
        <w:ind w:left="0" w:firstLineChars="0" w:firstLine="0"/>
        <w:rPr>
          <w:rFonts w:eastAsia="黑体"/>
          <w:color w:val="000000" w:themeColor="text1"/>
          <w:sz w:val="36"/>
          <w:szCs w:val="36"/>
          <w:u w:color="999999"/>
        </w:rPr>
      </w:pPr>
      <w:bookmarkStart w:id="295" w:name="_Toc157950687"/>
      <w:bookmarkStart w:id="296" w:name="_Toc159327241"/>
      <w:bookmarkStart w:id="297" w:name="_Toc142917030"/>
      <w:bookmarkStart w:id="298" w:name="_Toc159233452"/>
      <w:bookmarkStart w:id="299" w:name="_Toc142482355"/>
      <w:bookmarkStart w:id="300" w:name="_Toc151038959"/>
      <w:bookmarkStart w:id="301" w:name="_Toc159230604"/>
      <w:bookmarkStart w:id="302" w:name="_Toc173315471"/>
      <w:bookmarkStart w:id="303" w:name="_Toc157938285"/>
      <w:bookmarkStart w:id="304" w:name="_Toc142917147"/>
      <w:bookmarkStart w:id="305" w:name="_Toc173311228"/>
      <w:bookmarkStart w:id="306" w:name="_Toc173311331"/>
      <w:bookmarkStart w:id="307" w:name="_Toc141257392"/>
      <w:bookmarkStart w:id="308" w:name="_Toc142489578"/>
      <w:bookmarkStart w:id="309" w:name="_Toc159230070"/>
      <w:r>
        <w:rPr>
          <w:rFonts w:eastAsia="黑体"/>
          <w:color w:val="000000" w:themeColor="text1"/>
          <w:sz w:val="36"/>
          <w:szCs w:val="36"/>
          <w:u w:color="999999"/>
        </w:rPr>
        <w:t>调查方法</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37D90A4A" w14:textId="77777777" w:rsidR="008810A2" w:rsidRDefault="00D921E0">
      <w:pPr>
        <w:keepLines/>
        <w:numPr>
          <w:ilvl w:val="0"/>
          <w:numId w:val="16"/>
        </w:numPr>
        <w:topLinePunct/>
        <w:snapToGrid w:val="0"/>
        <w:spacing w:before="320" w:after="200"/>
        <w:ind w:firstLineChars="0"/>
        <w:rPr>
          <w:rFonts w:eastAsia="楷体_GB2312"/>
          <w:color w:val="000000" w:themeColor="text1"/>
          <w:sz w:val="30"/>
          <w:szCs w:val="30"/>
        </w:rPr>
      </w:pPr>
      <w:bookmarkStart w:id="310" w:name="_Toc157950688"/>
      <w:bookmarkStart w:id="311" w:name="_Toc141257393"/>
      <w:bookmarkStart w:id="312" w:name="_Toc157938286"/>
      <w:bookmarkStart w:id="313" w:name="_Toc159327242"/>
      <w:bookmarkStart w:id="314" w:name="_Toc159233453"/>
      <w:bookmarkStart w:id="315" w:name="_Toc173311229"/>
      <w:bookmarkStart w:id="316" w:name="_Toc142917148"/>
      <w:bookmarkStart w:id="317" w:name="_Toc159230605"/>
      <w:bookmarkStart w:id="318" w:name="_Toc159230071"/>
      <w:bookmarkStart w:id="319" w:name="_Toc173315472"/>
      <w:bookmarkStart w:id="320" w:name="_Toc151038960"/>
      <w:bookmarkStart w:id="321" w:name="_Toc142489579"/>
      <w:bookmarkStart w:id="322" w:name="_Toc142917031"/>
      <w:bookmarkStart w:id="323" w:name="_Toc173311332"/>
      <w:bookmarkStart w:id="324" w:name="_Toc142482356"/>
      <w:r>
        <w:rPr>
          <w:rFonts w:eastAsia="楷体_GB2312"/>
          <w:color w:val="000000" w:themeColor="text1"/>
          <w:sz w:val="30"/>
          <w:szCs w:val="30"/>
        </w:rPr>
        <w:t>电话调查</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1C6C9A98" w14:textId="77777777" w:rsidR="008810A2" w:rsidRDefault="00D921E0">
      <w:pPr>
        <w:ind w:firstLine="482"/>
        <w:rPr>
          <w:b/>
          <w:bCs/>
          <w:color w:val="000000" w:themeColor="text1"/>
          <w:sz w:val="24"/>
          <w:lang w:val="zh-CN"/>
        </w:rPr>
      </w:pPr>
      <w:r>
        <w:rPr>
          <w:b/>
          <w:color w:val="000000" w:themeColor="text1"/>
          <w:sz w:val="24"/>
          <w:lang w:val="zh-CN"/>
        </w:rPr>
        <w:t>1.1</w:t>
      </w:r>
      <w:r>
        <w:rPr>
          <w:b/>
          <w:color w:val="000000" w:themeColor="text1"/>
          <w:sz w:val="24"/>
          <w:lang w:val="zh-CN"/>
        </w:rPr>
        <w:tab/>
      </w:r>
      <w:r>
        <w:rPr>
          <w:b/>
          <w:color w:val="000000" w:themeColor="text1"/>
          <w:sz w:val="24"/>
          <w:lang w:val="zh-CN"/>
        </w:rPr>
        <w:t>调查总体</w:t>
      </w:r>
    </w:p>
    <w:p w14:paraId="0D73674E" w14:textId="77777777" w:rsidR="008810A2" w:rsidRDefault="00D921E0">
      <w:pPr>
        <w:ind w:firstLine="420"/>
        <w:rPr>
          <w:color w:val="000000" w:themeColor="text1"/>
        </w:rPr>
      </w:pPr>
      <w:r>
        <w:rPr>
          <w:color w:val="000000" w:themeColor="text1"/>
        </w:rPr>
        <w:t>我国有住宅固定电话（家庭电话、宿舍电话）或者手机的</w:t>
      </w:r>
      <w:r>
        <w:rPr>
          <w:color w:val="000000" w:themeColor="text1"/>
        </w:rPr>
        <w:t>6</w:t>
      </w:r>
      <w:r>
        <w:rPr>
          <w:color w:val="000000" w:themeColor="text1"/>
        </w:rPr>
        <w:t>周岁及以上居民。</w:t>
      </w:r>
    </w:p>
    <w:p w14:paraId="1F4EC3A6" w14:textId="77777777" w:rsidR="008810A2" w:rsidRDefault="00D921E0">
      <w:pPr>
        <w:pStyle w:val="afff0"/>
        <w:numPr>
          <w:ilvl w:val="0"/>
          <w:numId w:val="17"/>
        </w:numPr>
        <w:ind w:firstLineChars="0"/>
        <w:rPr>
          <w:color w:val="000000" w:themeColor="text1"/>
        </w:rPr>
      </w:pPr>
      <w:r>
        <w:rPr>
          <w:color w:val="000000" w:themeColor="text1"/>
        </w:rPr>
        <w:t>样本规模</w:t>
      </w:r>
    </w:p>
    <w:p w14:paraId="2BB48681" w14:textId="77777777" w:rsidR="008810A2" w:rsidRDefault="00D921E0">
      <w:pPr>
        <w:ind w:firstLine="420"/>
        <w:rPr>
          <w:color w:val="000000" w:themeColor="text1"/>
        </w:rPr>
      </w:pPr>
      <w:r>
        <w:rPr>
          <w:color w:val="000000" w:themeColor="text1"/>
        </w:rPr>
        <w:t>调查总体样本覆盖中国内地（大陆）地区</w:t>
      </w:r>
      <w:r>
        <w:rPr>
          <w:color w:val="000000" w:themeColor="text1"/>
        </w:rPr>
        <w:t>31</w:t>
      </w:r>
      <w:r>
        <w:rPr>
          <w:color w:val="000000" w:themeColor="text1"/>
        </w:rPr>
        <w:t>个省（区、市），不含香港、澳门、台湾。</w:t>
      </w:r>
    </w:p>
    <w:p w14:paraId="4798DC7A" w14:textId="77777777" w:rsidR="008810A2" w:rsidRDefault="00D921E0">
      <w:pPr>
        <w:pStyle w:val="afff0"/>
        <w:numPr>
          <w:ilvl w:val="0"/>
          <w:numId w:val="17"/>
        </w:numPr>
        <w:ind w:firstLineChars="0"/>
        <w:rPr>
          <w:color w:val="000000" w:themeColor="text1"/>
        </w:rPr>
      </w:pPr>
      <w:r>
        <w:rPr>
          <w:color w:val="000000" w:themeColor="text1"/>
        </w:rPr>
        <w:t>调查总体细分</w:t>
      </w:r>
    </w:p>
    <w:p w14:paraId="4E4F1773" w14:textId="77777777" w:rsidR="008810A2" w:rsidRDefault="00D921E0">
      <w:pPr>
        <w:ind w:firstLine="420"/>
        <w:rPr>
          <w:color w:val="000000" w:themeColor="text1"/>
        </w:rPr>
      </w:pPr>
      <w:r>
        <w:rPr>
          <w:color w:val="000000" w:themeColor="text1"/>
        </w:rPr>
        <w:t>调查总体划分如下：</w:t>
      </w:r>
    </w:p>
    <w:p w14:paraId="4B437C88" w14:textId="77777777" w:rsidR="008810A2" w:rsidRDefault="00D921E0">
      <w:pPr>
        <w:ind w:firstLine="420"/>
        <w:rPr>
          <w:color w:val="000000" w:themeColor="text1"/>
        </w:rPr>
      </w:pPr>
      <w:proofErr w:type="gramStart"/>
      <w:r>
        <w:rPr>
          <w:color w:val="000000" w:themeColor="text1"/>
        </w:rPr>
        <w:t>子总体</w:t>
      </w:r>
      <w:proofErr w:type="gramEnd"/>
      <w:r>
        <w:rPr>
          <w:color w:val="000000" w:themeColor="text1"/>
        </w:rPr>
        <w:t>A</w:t>
      </w:r>
      <w:r>
        <w:rPr>
          <w:color w:val="000000" w:themeColor="text1"/>
        </w:rPr>
        <w:t>：被</w:t>
      </w:r>
      <w:proofErr w:type="gramStart"/>
      <w:r>
        <w:rPr>
          <w:color w:val="000000" w:themeColor="text1"/>
        </w:rPr>
        <w:t>住宅固话覆盖</w:t>
      </w:r>
      <w:proofErr w:type="gramEnd"/>
      <w:r>
        <w:rPr>
          <w:color w:val="000000" w:themeColor="text1"/>
        </w:rPr>
        <w:t>人群【包括：住宅固定电话覆盖的居民</w:t>
      </w:r>
      <w:r>
        <w:rPr>
          <w:color w:val="000000" w:themeColor="text1"/>
        </w:rPr>
        <w:t>+</w:t>
      </w:r>
      <w:r>
        <w:rPr>
          <w:color w:val="000000" w:themeColor="text1"/>
        </w:rPr>
        <w:t>学生宿舍电话覆盖用户</w:t>
      </w:r>
      <w:r>
        <w:rPr>
          <w:color w:val="000000" w:themeColor="text1"/>
        </w:rPr>
        <w:t>+</w:t>
      </w:r>
      <w:r>
        <w:rPr>
          <w:color w:val="000000" w:themeColor="text1"/>
        </w:rPr>
        <w:t>其他宿舍电话覆盖用户】；</w:t>
      </w:r>
    </w:p>
    <w:p w14:paraId="770D3A81" w14:textId="77777777" w:rsidR="008810A2" w:rsidRDefault="00D921E0">
      <w:pPr>
        <w:ind w:firstLine="420"/>
        <w:rPr>
          <w:color w:val="000000" w:themeColor="text1"/>
        </w:rPr>
      </w:pPr>
      <w:proofErr w:type="gramStart"/>
      <w:r>
        <w:rPr>
          <w:color w:val="000000" w:themeColor="text1"/>
        </w:rPr>
        <w:t>子总体</w:t>
      </w:r>
      <w:proofErr w:type="gramEnd"/>
      <w:r>
        <w:rPr>
          <w:color w:val="000000" w:themeColor="text1"/>
        </w:rPr>
        <w:t>B</w:t>
      </w:r>
      <w:r>
        <w:rPr>
          <w:color w:val="000000" w:themeColor="text1"/>
        </w:rPr>
        <w:t>：被手机覆盖人群；</w:t>
      </w:r>
    </w:p>
    <w:p w14:paraId="518A638B" w14:textId="77777777" w:rsidR="008810A2" w:rsidRDefault="00D921E0">
      <w:pPr>
        <w:ind w:firstLine="420"/>
        <w:rPr>
          <w:color w:val="000000" w:themeColor="text1"/>
        </w:rPr>
      </w:pPr>
      <w:proofErr w:type="gramStart"/>
      <w:r>
        <w:rPr>
          <w:color w:val="000000" w:themeColor="text1"/>
        </w:rPr>
        <w:t>子总体</w:t>
      </w:r>
      <w:proofErr w:type="gramEnd"/>
      <w:r>
        <w:rPr>
          <w:color w:val="000000" w:themeColor="text1"/>
        </w:rPr>
        <w:t>C</w:t>
      </w:r>
      <w:r>
        <w:rPr>
          <w:color w:val="000000" w:themeColor="text1"/>
        </w:rPr>
        <w:t>：手机和住宅</w:t>
      </w:r>
      <w:proofErr w:type="gramStart"/>
      <w:r>
        <w:rPr>
          <w:color w:val="000000" w:themeColor="text1"/>
        </w:rPr>
        <w:t>固话共同</w:t>
      </w:r>
      <w:proofErr w:type="gramEnd"/>
      <w:r>
        <w:rPr>
          <w:color w:val="000000" w:themeColor="text1"/>
        </w:rPr>
        <w:t>覆盖人群【住宅固话覆盖人群和手机覆盖人群有重合，重合处为子总体</w:t>
      </w:r>
      <w:r>
        <w:rPr>
          <w:color w:val="000000" w:themeColor="text1"/>
        </w:rPr>
        <w:t>C</w:t>
      </w:r>
      <w:r>
        <w:rPr>
          <w:color w:val="000000" w:themeColor="text1"/>
        </w:rPr>
        <w:t>】，</w:t>
      </w:r>
      <w:r>
        <w:rPr>
          <w:color w:val="000000" w:themeColor="text1"/>
        </w:rPr>
        <w:t>C=A∩B</w:t>
      </w:r>
      <w:r>
        <w:rPr>
          <w:color w:val="000000" w:themeColor="text1"/>
        </w:rPr>
        <w:t>。</w:t>
      </w:r>
    </w:p>
    <w:p w14:paraId="4519AEED" w14:textId="77777777" w:rsidR="008810A2" w:rsidRDefault="00D921E0">
      <w:pPr>
        <w:ind w:firstLine="482"/>
        <w:rPr>
          <w:b/>
          <w:color w:val="000000" w:themeColor="text1"/>
          <w:sz w:val="24"/>
          <w:lang w:val="zh-CN"/>
        </w:rPr>
      </w:pPr>
      <w:r>
        <w:rPr>
          <w:b/>
          <w:color w:val="000000" w:themeColor="text1"/>
          <w:sz w:val="24"/>
          <w:lang w:val="zh-CN"/>
        </w:rPr>
        <w:t>1.2</w:t>
      </w:r>
      <w:r>
        <w:rPr>
          <w:b/>
          <w:color w:val="000000" w:themeColor="text1"/>
          <w:sz w:val="24"/>
          <w:lang w:val="zh-CN"/>
        </w:rPr>
        <w:tab/>
      </w:r>
      <w:r>
        <w:rPr>
          <w:b/>
          <w:color w:val="000000" w:themeColor="text1"/>
          <w:sz w:val="24"/>
          <w:lang w:val="zh-CN"/>
        </w:rPr>
        <w:t>抽样方式</w:t>
      </w:r>
    </w:p>
    <w:p w14:paraId="0558955D" w14:textId="77777777" w:rsidR="008810A2" w:rsidRDefault="00D921E0">
      <w:pPr>
        <w:ind w:firstLine="420"/>
        <w:rPr>
          <w:color w:val="000000" w:themeColor="text1"/>
        </w:rPr>
      </w:pPr>
      <w:r>
        <w:rPr>
          <w:color w:val="000000" w:themeColor="text1"/>
        </w:rPr>
        <w:t>CNNIC</w:t>
      </w:r>
      <w:r>
        <w:rPr>
          <w:color w:val="000000" w:themeColor="text1"/>
        </w:rPr>
        <w:t>针对</w:t>
      </w:r>
      <w:proofErr w:type="gramStart"/>
      <w:r>
        <w:rPr>
          <w:color w:val="000000" w:themeColor="text1"/>
        </w:rPr>
        <w:t>子总体</w:t>
      </w:r>
      <w:proofErr w:type="gramEnd"/>
      <w:r>
        <w:rPr>
          <w:color w:val="000000" w:themeColor="text1"/>
        </w:rPr>
        <w:t>A</w:t>
      </w:r>
      <w:r>
        <w:rPr>
          <w:color w:val="000000" w:themeColor="text1"/>
        </w:rPr>
        <w:t>、</w:t>
      </w:r>
      <w:r>
        <w:rPr>
          <w:color w:val="000000" w:themeColor="text1"/>
        </w:rPr>
        <w:t>B</w:t>
      </w:r>
      <w:r>
        <w:rPr>
          <w:color w:val="000000" w:themeColor="text1"/>
        </w:rPr>
        <w:t>、</w:t>
      </w:r>
      <w:r>
        <w:rPr>
          <w:color w:val="000000" w:themeColor="text1"/>
        </w:rPr>
        <w:t>C</w:t>
      </w:r>
      <w:r>
        <w:rPr>
          <w:color w:val="000000" w:themeColor="text1"/>
        </w:rPr>
        <w:t>进行调查，为最大限度地覆盖网民群体，采用双重抽样</w:t>
      </w:r>
      <w:proofErr w:type="gramStart"/>
      <w:r>
        <w:rPr>
          <w:color w:val="000000" w:themeColor="text1"/>
        </w:rPr>
        <w:t>框方式</w:t>
      </w:r>
      <w:proofErr w:type="gramEnd"/>
      <w:r>
        <w:rPr>
          <w:color w:val="000000" w:themeColor="text1"/>
        </w:rPr>
        <w:t>进行调研。采用的第一个抽样框是固定住宅电话名单，调查</w:t>
      </w:r>
      <w:proofErr w:type="gramStart"/>
      <w:r>
        <w:rPr>
          <w:color w:val="000000" w:themeColor="text1"/>
        </w:rPr>
        <w:t>子总体</w:t>
      </w:r>
      <w:proofErr w:type="gramEnd"/>
      <w:r>
        <w:rPr>
          <w:color w:val="000000" w:themeColor="text1"/>
        </w:rPr>
        <w:t>A</w:t>
      </w:r>
      <w:r>
        <w:rPr>
          <w:color w:val="000000" w:themeColor="text1"/>
        </w:rPr>
        <w:t>。采用的第二个抽样框是移动电话名单，调查</w:t>
      </w:r>
      <w:proofErr w:type="gramStart"/>
      <w:r>
        <w:rPr>
          <w:color w:val="000000" w:themeColor="text1"/>
        </w:rPr>
        <w:t>子总体</w:t>
      </w:r>
      <w:proofErr w:type="gramEnd"/>
      <w:r>
        <w:rPr>
          <w:color w:val="000000" w:themeColor="text1"/>
        </w:rPr>
        <w:t>B</w:t>
      </w:r>
      <w:r>
        <w:rPr>
          <w:color w:val="000000" w:themeColor="text1"/>
        </w:rPr>
        <w:t>。</w:t>
      </w:r>
    </w:p>
    <w:p w14:paraId="3266CD67" w14:textId="77777777" w:rsidR="008810A2" w:rsidRDefault="00D921E0">
      <w:pPr>
        <w:ind w:firstLine="420"/>
        <w:rPr>
          <w:color w:val="000000" w:themeColor="text1"/>
        </w:rPr>
      </w:pPr>
      <w:r>
        <w:rPr>
          <w:color w:val="000000" w:themeColor="text1"/>
        </w:rPr>
        <w:t>对于固定电话覆盖群体，采用分层二阶段抽样方式。为保证所抽取的样本具有足够的代表性，将中国内地（大陆）地区按省、自治区和直辖市分为</w:t>
      </w:r>
      <w:r>
        <w:rPr>
          <w:color w:val="000000" w:themeColor="text1"/>
        </w:rPr>
        <w:t>31</w:t>
      </w:r>
      <w:r>
        <w:rPr>
          <w:color w:val="000000" w:themeColor="text1"/>
        </w:rPr>
        <w:t>层，各层独立抽取样本。</w:t>
      </w:r>
    </w:p>
    <w:p w14:paraId="2CE2C03C" w14:textId="77777777" w:rsidR="008810A2" w:rsidRDefault="00D921E0">
      <w:pPr>
        <w:ind w:firstLine="420"/>
        <w:rPr>
          <w:color w:val="000000" w:themeColor="text1"/>
        </w:rPr>
      </w:pPr>
      <w:r>
        <w:rPr>
          <w:color w:val="000000" w:themeColor="text1"/>
        </w:rPr>
        <w:t>省内采取样本自加权的抽样方式。各地市州（包括所辖区、县）样本量根据该城市固定住宅电话覆盖的</w:t>
      </w:r>
      <w:r>
        <w:rPr>
          <w:color w:val="000000" w:themeColor="text1"/>
        </w:rPr>
        <w:t>6</w:t>
      </w:r>
      <w:r>
        <w:rPr>
          <w:color w:val="000000" w:themeColor="text1"/>
        </w:rPr>
        <w:t>周岁及以上人口数占全省总覆盖人口数的比例分配。</w:t>
      </w:r>
    </w:p>
    <w:p w14:paraId="11F59325" w14:textId="77777777" w:rsidR="008810A2" w:rsidRDefault="00D921E0">
      <w:pPr>
        <w:ind w:firstLine="420"/>
        <w:rPr>
          <w:color w:val="000000" w:themeColor="text1"/>
        </w:rPr>
      </w:pPr>
      <w:r>
        <w:rPr>
          <w:color w:val="000000" w:themeColor="text1"/>
        </w:rPr>
        <w:t>对于手机覆盖群体，抽样方式与固定电话群体类似，也将中国内地（大陆）地区按省、自治区和直辖市分为</w:t>
      </w:r>
      <w:r>
        <w:rPr>
          <w:color w:val="000000" w:themeColor="text1"/>
        </w:rPr>
        <w:t>31</w:t>
      </w:r>
      <w:r>
        <w:rPr>
          <w:color w:val="000000" w:themeColor="text1"/>
        </w:rPr>
        <w:t>层，各层独立抽取样本。省内按照各地市居民人口所占比例分配样本，使省内样本分配符合自加权。</w:t>
      </w:r>
    </w:p>
    <w:p w14:paraId="151AA1A6" w14:textId="77777777" w:rsidR="008810A2" w:rsidRDefault="00D921E0">
      <w:pPr>
        <w:ind w:firstLine="420"/>
        <w:rPr>
          <w:color w:val="000000" w:themeColor="text1"/>
        </w:rPr>
      </w:pPr>
      <w:r>
        <w:rPr>
          <w:color w:val="000000" w:themeColor="text1"/>
        </w:rPr>
        <w:t>为了保证每个地市州内的电话号码被抽中的机会近似相同，使电话多的局号被抽中的</w:t>
      </w:r>
      <w:r>
        <w:rPr>
          <w:color w:val="000000" w:themeColor="text1"/>
        </w:rPr>
        <w:lastRenderedPageBreak/>
        <w:t>机会多，同时也考虑到了访问实施工作的操作性，在各地市州内电话号码的抽取按以下步骤进行：</w:t>
      </w:r>
    </w:p>
    <w:p w14:paraId="39B8216A" w14:textId="77777777" w:rsidR="008810A2" w:rsidRDefault="00D921E0">
      <w:pPr>
        <w:ind w:firstLine="420"/>
        <w:rPr>
          <w:color w:val="000000" w:themeColor="text1"/>
        </w:rPr>
      </w:pPr>
      <w:r>
        <w:rPr>
          <w:color w:val="000000" w:themeColor="text1"/>
        </w:rPr>
        <w:t>手机群体调研方式是在每个地市州中，抽取全部手机局号；结合每个地市州的有效样本量，生成一定数量的四位随机数，与每个地市州的手机局号相结合，构成号码库（局号</w:t>
      </w:r>
      <w:r>
        <w:rPr>
          <w:color w:val="000000" w:themeColor="text1"/>
        </w:rPr>
        <w:t>+4</w:t>
      </w:r>
      <w:r>
        <w:rPr>
          <w:color w:val="000000" w:themeColor="text1"/>
        </w:rPr>
        <w:t>位随机数）；对所生成的号码库进行随机排序；拨打访问随机排序后的号码库。固定电话群体调研方式与手机群体相似，同样是生成随机数与局号组成电话号码，拨打访问这些电话号码。但为了不重复抽样，此处只访问住宅固定电话。</w:t>
      </w:r>
    </w:p>
    <w:p w14:paraId="67E6BD9E" w14:textId="77777777" w:rsidR="008810A2" w:rsidRDefault="00D921E0">
      <w:pPr>
        <w:ind w:firstLine="420"/>
        <w:rPr>
          <w:color w:val="000000" w:themeColor="text1"/>
        </w:rPr>
      </w:pPr>
      <w:r>
        <w:rPr>
          <w:color w:val="000000" w:themeColor="text1"/>
        </w:rPr>
        <w:t>网民规模根据各省统计局最新公布的人口属性结构，采用多变量联合加权的方法进行统计推算。统计局公布数据为年度普查数据推算数或年度人口抽样调查推算数据，本报告采用其作为半年度调查数据的权数调整依据，忽略调查期差异。</w:t>
      </w:r>
    </w:p>
    <w:p w14:paraId="1A0535A3" w14:textId="77777777" w:rsidR="008810A2" w:rsidRDefault="00D921E0">
      <w:pPr>
        <w:ind w:firstLine="482"/>
        <w:rPr>
          <w:b/>
          <w:color w:val="000000" w:themeColor="text1"/>
          <w:sz w:val="24"/>
          <w:lang w:val="zh-CN"/>
        </w:rPr>
      </w:pPr>
      <w:r>
        <w:rPr>
          <w:b/>
          <w:color w:val="000000" w:themeColor="text1"/>
          <w:sz w:val="24"/>
          <w:lang w:val="zh-CN"/>
        </w:rPr>
        <w:t>1.3</w:t>
      </w:r>
      <w:r>
        <w:rPr>
          <w:b/>
          <w:color w:val="000000" w:themeColor="text1"/>
          <w:sz w:val="24"/>
          <w:lang w:val="zh-CN"/>
        </w:rPr>
        <w:tab/>
      </w:r>
      <w:r>
        <w:rPr>
          <w:b/>
          <w:color w:val="000000" w:themeColor="text1"/>
          <w:sz w:val="24"/>
          <w:lang w:val="zh-CN"/>
        </w:rPr>
        <w:t>抽样误差</w:t>
      </w:r>
    </w:p>
    <w:p w14:paraId="54E75C85" w14:textId="77777777" w:rsidR="008810A2" w:rsidRDefault="00D921E0">
      <w:pPr>
        <w:ind w:firstLine="420"/>
        <w:rPr>
          <w:color w:val="000000" w:themeColor="text1"/>
          <w:lang w:val="zh-CN"/>
        </w:rPr>
      </w:pPr>
      <w:r>
        <w:rPr>
          <w:rFonts w:hint="eastAsia"/>
          <w:color w:val="000000" w:themeColor="text1"/>
          <w:lang w:val="zh-CN"/>
        </w:rPr>
        <w:t>根据抽样设计</w:t>
      </w:r>
      <w:r>
        <w:rPr>
          <w:color w:val="000000" w:themeColor="text1"/>
          <w:lang w:val="zh-CN"/>
        </w:rPr>
        <w:t>分析计算，网民个人调查结果中，比例</w:t>
      </w:r>
      <w:proofErr w:type="gramStart"/>
      <w:r>
        <w:rPr>
          <w:rFonts w:hint="eastAsia"/>
          <w:color w:val="000000" w:themeColor="text1"/>
          <w:lang w:val="zh-CN"/>
        </w:rPr>
        <w:t>型</w:t>
      </w:r>
      <w:r>
        <w:rPr>
          <w:color w:val="000000" w:themeColor="text1"/>
          <w:lang w:val="zh-CN"/>
        </w:rPr>
        <w:t>目标量</w:t>
      </w:r>
      <w:proofErr w:type="gramEnd"/>
      <w:r>
        <w:rPr>
          <w:color w:val="000000" w:themeColor="text1"/>
          <w:lang w:val="zh-CN"/>
        </w:rPr>
        <w:t>（</w:t>
      </w:r>
      <w:r>
        <w:rPr>
          <w:rFonts w:hint="eastAsia"/>
          <w:color w:val="000000" w:themeColor="text1"/>
          <w:lang w:val="zh-CN"/>
        </w:rPr>
        <w:t>如</w:t>
      </w:r>
      <w:r>
        <w:rPr>
          <w:color w:val="000000" w:themeColor="text1"/>
          <w:lang w:val="zh-CN"/>
        </w:rPr>
        <w:t>网民普及率）</w:t>
      </w:r>
      <w:r>
        <w:rPr>
          <w:rFonts w:hint="eastAsia"/>
          <w:color w:val="000000" w:themeColor="text1"/>
          <w:lang w:val="zh-CN"/>
        </w:rPr>
        <w:t>估计</w:t>
      </w:r>
      <w:r>
        <w:rPr>
          <w:color w:val="000000" w:themeColor="text1"/>
          <w:lang w:val="zh-CN"/>
        </w:rPr>
        <w:t>在置信度为</w:t>
      </w:r>
      <w:r>
        <w:rPr>
          <w:rFonts w:hint="eastAsia"/>
          <w:color w:val="000000" w:themeColor="text1"/>
          <w:lang w:val="zh-CN"/>
        </w:rPr>
        <w:t>95</w:t>
      </w:r>
      <w:r>
        <w:rPr>
          <w:color w:val="000000" w:themeColor="text1"/>
          <w:lang w:val="zh-CN"/>
        </w:rPr>
        <w:t>%</w:t>
      </w:r>
      <w:r>
        <w:rPr>
          <w:color w:val="000000" w:themeColor="text1"/>
          <w:lang w:val="zh-CN"/>
        </w:rPr>
        <w:t>时的最大允许绝对误差为</w:t>
      </w:r>
      <w:r>
        <w:rPr>
          <w:rFonts w:hint="eastAsia"/>
          <w:color w:val="000000" w:themeColor="text1"/>
          <w:lang w:val="zh-CN"/>
        </w:rPr>
        <w:t>0.</w:t>
      </w:r>
      <w:r>
        <w:rPr>
          <w:color w:val="000000" w:themeColor="text1"/>
          <w:lang w:val="zh-CN"/>
        </w:rPr>
        <w:t>67</w:t>
      </w:r>
      <w:r>
        <w:rPr>
          <w:rFonts w:hint="eastAsia"/>
          <w:color w:val="000000" w:themeColor="text1"/>
          <w:lang w:val="zh-CN"/>
        </w:rPr>
        <w:t>个百分点</w:t>
      </w:r>
      <w:r>
        <w:rPr>
          <w:color w:val="000000" w:themeColor="text1"/>
          <w:lang w:val="zh-CN"/>
        </w:rPr>
        <w:t>。由此可推出其他各种类型目标量（</w:t>
      </w:r>
      <w:r>
        <w:rPr>
          <w:rFonts w:hint="eastAsia"/>
          <w:color w:val="000000" w:themeColor="text1"/>
          <w:lang w:val="zh-CN"/>
        </w:rPr>
        <w:t>如</w:t>
      </w:r>
      <w:r>
        <w:rPr>
          <w:color w:val="000000" w:themeColor="text1"/>
          <w:lang w:val="zh-CN"/>
        </w:rPr>
        <w:t>网民规模）</w:t>
      </w:r>
      <w:r>
        <w:rPr>
          <w:rFonts w:hint="eastAsia"/>
          <w:color w:val="000000" w:themeColor="text1"/>
          <w:lang w:val="zh-CN"/>
        </w:rPr>
        <w:t>估计</w:t>
      </w:r>
      <w:r>
        <w:rPr>
          <w:color w:val="000000" w:themeColor="text1"/>
          <w:lang w:val="zh-CN"/>
        </w:rPr>
        <w:t>的误差范围。</w:t>
      </w:r>
    </w:p>
    <w:p w14:paraId="4AD53DE5" w14:textId="77777777" w:rsidR="008810A2" w:rsidRDefault="00D921E0">
      <w:pPr>
        <w:ind w:firstLine="482"/>
        <w:rPr>
          <w:b/>
          <w:color w:val="000000" w:themeColor="text1"/>
          <w:sz w:val="24"/>
          <w:lang w:val="zh-CN"/>
        </w:rPr>
      </w:pPr>
      <w:r>
        <w:rPr>
          <w:b/>
          <w:color w:val="000000" w:themeColor="text1"/>
          <w:sz w:val="24"/>
          <w:lang w:val="zh-CN"/>
        </w:rPr>
        <w:t>1.4</w:t>
      </w:r>
      <w:r>
        <w:rPr>
          <w:b/>
          <w:color w:val="000000" w:themeColor="text1"/>
          <w:sz w:val="24"/>
          <w:lang w:val="zh-CN"/>
        </w:rPr>
        <w:tab/>
      </w:r>
      <w:r>
        <w:rPr>
          <w:b/>
          <w:color w:val="000000" w:themeColor="text1"/>
          <w:sz w:val="24"/>
          <w:lang w:val="zh-CN"/>
        </w:rPr>
        <w:t>调查方式</w:t>
      </w:r>
    </w:p>
    <w:p w14:paraId="71B46363" w14:textId="77777777" w:rsidR="008810A2" w:rsidRDefault="00D921E0">
      <w:pPr>
        <w:ind w:firstLine="420"/>
        <w:rPr>
          <w:color w:val="000000" w:themeColor="text1"/>
        </w:rPr>
      </w:pPr>
      <w:r>
        <w:rPr>
          <w:color w:val="000000" w:themeColor="text1"/>
        </w:rPr>
        <w:t>通过计算机辅助电话访问系统（</w:t>
      </w:r>
      <w:r>
        <w:rPr>
          <w:color w:val="000000" w:themeColor="text1"/>
        </w:rPr>
        <w:t>CATI</w:t>
      </w:r>
      <w:r>
        <w:rPr>
          <w:color w:val="000000" w:themeColor="text1"/>
        </w:rPr>
        <w:t>）进行调查。</w:t>
      </w:r>
    </w:p>
    <w:p w14:paraId="3055CE11" w14:textId="77777777" w:rsidR="008810A2" w:rsidRDefault="00D921E0">
      <w:pPr>
        <w:ind w:firstLine="482"/>
        <w:rPr>
          <w:b/>
          <w:color w:val="000000" w:themeColor="text1"/>
          <w:sz w:val="24"/>
          <w:lang w:val="zh-CN"/>
        </w:rPr>
      </w:pPr>
      <w:r>
        <w:rPr>
          <w:b/>
          <w:color w:val="000000" w:themeColor="text1"/>
          <w:sz w:val="24"/>
          <w:lang w:val="zh-CN"/>
        </w:rPr>
        <w:t>1.5</w:t>
      </w:r>
      <w:r>
        <w:rPr>
          <w:b/>
          <w:color w:val="000000" w:themeColor="text1"/>
          <w:sz w:val="24"/>
          <w:lang w:val="zh-CN"/>
        </w:rPr>
        <w:tab/>
      </w:r>
      <w:r>
        <w:rPr>
          <w:b/>
          <w:color w:val="000000" w:themeColor="text1"/>
          <w:sz w:val="24"/>
          <w:lang w:val="zh-CN"/>
        </w:rPr>
        <w:t>调查总体和目标总体的差异</w:t>
      </w:r>
    </w:p>
    <w:p w14:paraId="66CF3AD0" w14:textId="77777777" w:rsidR="008810A2" w:rsidRDefault="00D921E0">
      <w:pPr>
        <w:ind w:firstLine="420"/>
        <w:rPr>
          <w:color w:val="000000" w:themeColor="text1"/>
        </w:rPr>
      </w:pPr>
      <w:r>
        <w:rPr>
          <w:color w:val="000000" w:themeColor="text1"/>
        </w:rPr>
        <w:t>CNNIC</w:t>
      </w:r>
      <w:r>
        <w:rPr>
          <w:color w:val="000000" w:themeColor="text1"/>
        </w:rPr>
        <w:t>在</w:t>
      </w:r>
      <w:r>
        <w:rPr>
          <w:color w:val="000000" w:themeColor="text1"/>
        </w:rPr>
        <w:t>2005</w:t>
      </w:r>
      <w:r>
        <w:rPr>
          <w:color w:val="000000" w:themeColor="text1"/>
        </w:rPr>
        <w:t>年</w:t>
      </w:r>
      <w:proofErr w:type="gramStart"/>
      <w:r>
        <w:rPr>
          <w:color w:val="000000" w:themeColor="text1"/>
        </w:rPr>
        <w:t>末曾</w:t>
      </w:r>
      <w:proofErr w:type="gramEnd"/>
      <w:r>
        <w:rPr>
          <w:color w:val="000000" w:themeColor="text1"/>
        </w:rPr>
        <w:t>经对电话无法覆盖人群进行过研究，此群体中网民规模很小，随着我国通信业的发展，目前该群体的规模逐步缩减。因此本次调查研究有一个前提假设，即：针对该项研究，</w:t>
      </w:r>
      <w:proofErr w:type="gramStart"/>
      <w:r>
        <w:rPr>
          <w:color w:val="000000" w:themeColor="text1"/>
        </w:rPr>
        <w:t>固话和</w:t>
      </w:r>
      <w:proofErr w:type="gramEnd"/>
      <w:r>
        <w:rPr>
          <w:color w:val="000000" w:themeColor="text1"/>
        </w:rPr>
        <w:t>手机无法覆盖人群中的网民在统计中可以忽略不计。</w:t>
      </w:r>
    </w:p>
    <w:p w14:paraId="37103932" w14:textId="77777777" w:rsidR="008810A2" w:rsidRDefault="00D921E0">
      <w:pPr>
        <w:keepLines/>
        <w:numPr>
          <w:ilvl w:val="0"/>
          <w:numId w:val="16"/>
        </w:numPr>
        <w:topLinePunct/>
        <w:snapToGrid w:val="0"/>
        <w:spacing w:before="320" w:after="200"/>
        <w:ind w:left="0" w:firstLineChars="0" w:firstLine="0"/>
        <w:rPr>
          <w:rFonts w:eastAsia="楷体_GB2312"/>
          <w:color w:val="000000" w:themeColor="text1"/>
          <w:sz w:val="30"/>
          <w:szCs w:val="30"/>
        </w:rPr>
      </w:pPr>
      <w:bookmarkStart w:id="325" w:name="_Toc159233454"/>
      <w:bookmarkStart w:id="326" w:name="_Toc173315473"/>
      <w:bookmarkStart w:id="327" w:name="_Toc159327243"/>
      <w:bookmarkStart w:id="328" w:name="_Toc142489580"/>
      <w:bookmarkStart w:id="329" w:name="_Toc173311230"/>
      <w:bookmarkStart w:id="330" w:name="_Toc157938287"/>
      <w:bookmarkStart w:id="331" w:name="_Toc141257394"/>
      <w:bookmarkStart w:id="332" w:name="_Toc142917032"/>
      <w:bookmarkStart w:id="333" w:name="_Toc159230072"/>
      <w:bookmarkStart w:id="334" w:name="_Toc142917149"/>
      <w:bookmarkStart w:id="335" w:name="_Toc173311333"/>
      <w:bookmarkStart w:id="336" w:name="_Toc142482357"/>
      <w:bookmarkStart w:id="337" w:name="_Toc159230606"/>
      <w:bookmarkStart w:id="338" w:name="_Toc157950689"/>
      <w:bookmarkStart w:id="339" w:name="_Toc151038961"/>
      <w:r>
        <w:rPr>
          <w:rFonts w:eastAsia="楷体_GB2312"/>
          <w:color w:val="000000" w:themeColor="text1"/>
          <w:sz w:val="30"/>
          <w:szCs w:val="30"/>
        </w:rPr>
        <w:t>网上自动搜索与统计数据上报</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046F01C5" w14:textId="77777777" w:rsidR="008810A2" w:rsidRDefault="00D921E0">
      <w:pPr>
        <w:ind w:firstLine="420"/>
        <w:rPr>
          <w:color w:val="000000" w:themeColor="text1"/>
        </w:rPr>
      </w:pPr>
      <w:r>
        <w:rPr>
          <w:color w:val="000000" w:themeColor="text1"/>
        </w:rPr>
        <w:t>网上自动搜索主要是对网站数量进行技术统计，而统计上报数据主要包括</w:t>
      </w:r>
      <w:r>
        <w:rPr>
          <w:color w:val="000000" w:themeColor="text1"/>
        </w:rPr>
        <w:t>IP</w:t>
      </w:r>
      <w:r>
        <w:rPr>
          <w:color w:val="000000" w:themeColor="text1"/>
        </w:rPr>
        <w:t>地址数和域名数。</w:t>
      </w:r>
    </w:p>
    <w:p w14:paraId="31A3846F" w14:textId="77777777" w:rsidR="008810A2" w:rsidRDefault="00D921E0">
      <w:pPr>
        <w:ind w:firstLine="482"/>
        <w:rPr>
          <w:b/>
          <w:color w:val="000000" w:themeColor="text1"/>
          <w:sz w:val="24"/>
          <w:lang w:val="zh-CN"/>
        </w:rPr>
      </w:pPr>
      <w:r>
        <w:rPr>
          <w:b/>
          <w:color w:val="000000" w:themeColor="text1"/>
          <w:sz w:val="24"/>
          <w:lang w:val="zh-CN"/>
        </w:rPr>
        <w:t>2.1</w:t>
      </w:r>
      <w:r>
        <w:rPr>
          <w:b/>
          <w:color w:val="000000" w:themeColor="text1"/>
          <w:sz w:val="24"/>
          <w:lang w:val="zh-CN"/>
        </w:rPr>
        <w:tab/>
        <w:t>IP</w:t>
      </w:r>
      <w:r>
        <w:rPr>
          <w:b/>
          <w:color w:val="000000" w:themeColor="text1"/>
          <w:sz w:val="24"/>
          <w:lang w:val="zh-CN"/>
        </w:rPr>
        <w:t>地址总数</w:t>
      </w:r>
    </w:p>
    <w:p w14:paraId="691C740F" w14:textId="77777777" w:rsidR="008810A2" w:rsidRDefault="00D921E0">
      <w:pPr>
        <w:ind w:firstLine="420"/>
        <w:rPr>
          <w:color w:val="000000" w:themeColor="text1"/>
        </w:rPr>
      </w:pPr>
      <w:r>
        <w:rPr>
          <w:color w:val="000000" w:themeColor="text1"/>
        </w:rPr>
        <w:t>IP</w:t>
      </w:r>
      <w:r>
        <w:rPr>
          <w:color w:val="000000" w:themeColor="text1"/>
        </w:rPr>
        <w:t>地址分省统计的数据来自亚太互联网络信息中心（</w:t>
      </w:r>
      <w:r>
        <w:rPr>
          <w:color w:val="000000" w:themeColor="text1"/>
        </w:rPr>
        <w:t>APNIC</w:t>
      </w:r>
      <w:r>
        <w:rPr>
          <w:color w:val="000000" w:themeColor="text1"/>
        </w:rPr>
        <w:t>）和中国互联网络信息中心（</w:t>
      </w:r>
      <w:r>
        <w:rPr>
          <w:color w:val="000000" w:themeColor="text1"/>
        </w:rPr>
        <w:t>CNNIC</w:t>
      </w:r>
      <w:r>
        <w:rPr>
          <w:color w:val="000000" w:themeColor="text1"/>
        </w:rPr>
        <w:t>）</w:t>
      </w:r>
      <w:r>
        <w:rPr>
          <w:color w:val="000000" w:themeColor="text1"/>
        </w:rPr>
        <w:t>IP</w:t>
      </w:r>
      <w:r>
        <w:rPr>
          <w:color w:val="000000" w:themeColor="text1"/>
        </w:rPr>
        <w:t>地址数据库。将两个数据库中已经注册且可以判明地址所属省份的数据，按省分别相加得到分省数据。由于地址分配使用是动态过程，所统计数据仅供参考。同时，</w:t>
      </w:r>
      <w:r>
        <w:rPr>
          <w:color w:val="000000" w:themeColor="text1"/>
        </w:rPr>
        <w:t>IP</w:t>
      </w:r>
      <w:r>
        <w:rPr>
          <w:color w:val="000000" w:themeColor="text1"/>
        </w:rPr>
        <w:t>地址的国家主管部门工业和信息化部也会要求我国</w:t>
      </w:r>
      <w:r>
        <w:rPr>
          <w:color w:val="000000" w:themeColor="text1"/>
        </w:rPr>
        <w:t>IP</w:t>
      </w:r>
      <w:r>
        <w:rPr>
          <w:color w:val="000000" w:themeColor="text1"/>
        </w:rPr>
        <w:t>地址分配单位每半年上报一次其拥</w:t>
      </w:r>
      <w:r>
        <w:rPr>
          <w:color w:val="000000" w:themeColor="text1"/>
        </w:rPr>
        <w:lastRenderedPageBreak/>
        <w:t>有的</w:t>
      </w:r>
      <w:r>
        <w:rPr>
          <w:color w:val="000000" w:themeColor="text1"/>
        </w:rPr>
        <w:t>IP</w:t>
      </w:r>
      <w:r>
        <w:rPr>
          <w:color w:val="000000" w:themeColor="text1"/>
        </w:rPr>
        <w:t>地址数。为确保</w:t>
      </w:r>
      <w:r>
        <w:rPr>
          <w:color w:val="000000" w:themeColor="text1"/>
        </w:rPr>
        <w:t>IP</w:t>
      </w:r>
      <w:r>
        <w:rPr>
          <w:color w:val="000000" w:themeColor="text1"/>
        </w:rPr>
        <w:t>数据准确，</w:t>
      </w:r>
      <w:r>
        <w:rPr>
          <w:color w:val="000000" w:themeColor="text1"/>
        </w:rPr>
        <w:t>CNNIC</w:t>
      </w:r>
      <w:r>
        <w:rPr>
          <w:color w:val="000000" w:themeColor="text1"/>
        </w:rPr>
        <w:t>会将来自</w:t>
      </w:r>
      <w:r>
        <w:rPr>
          <w:color w:val="000000" w:themeColor="text1"/>
        </w:rPr>
        <w:t>APNIC</w:t>
      </w:r>
      <w:r>
        <w:rPr>
          <w:color w:val="000000" w:themeColor="text1"/>
        </w:rPr>
        <w:t>的统计数据与上报数据进行比较、核实，确定最终</w:t>
      </w:r>
      <w:r>
        <w:rPr>
          <w:color w:val="000000" w:themeColor="text1"/>
        </w:rPr>
        <w:t>IP</w:t>
      </w:r>
      <w:r>
        <w:rPr>
          <w:color w:val="000000" w:themeColor="text1"/>
        </w:rPr>
        <w:t>地址数。</w:t>
      </w:r>
    </w:p>
    <w:p w14:paraId="039D4635" w14:textId="77777777" w:rsidR="008810A2" w:rsidRDefault="00D921E0">
      <w:pPr>
        <w:ind w:firstLine="482"/>
        <w:rPr>
          <w:b/>
          <w:color w:val="000000" w:themeColor="text1"/>
          <w:sz w:val="24"/>
          <w:lang w:val="zh-CN"/>
        </w:rPr>
      </w:pPr>
      <w:r>
        <w:rPr>
          <w:b/>
          <w:color w:val="000000" w:themeColor="text1"/>
          <w:sz w:val="24"/>
          <w:lang w:val="zh-CN"/>
        </w:rPr>
        <w:t>2.2</w:t>
      </w:r>
      <w:r>
        <w:rPr>
          <w:b/>
          <w:color w:val="000000" w:themeColor="text1"/>
          <w:sz w:val="24"/>
          <w:lang w:val="zh-CN"/>
        </w:rPr>
        <w:tab/>
      </w:r>
      <w:r>
        <w:rPr>
          <w:b/>
          <w:color w:val="000000" w:themeColor="text1"/>
          <w:sz w:val="24"/>
          <w:lang w:val="zh-CN"/>
        </w:rPr>
        <w:t>网站总数</w:t>
      </w:r>
    </w:p>
    <w:p w14:paraId="439B222A" w14:textId="77777777" w:rsidR="008810A2" w:rsidRDefault="00D921E0">
      <w:pPr>
        <w:ind w:firstLine="420"/>
        <w:rPr>
          <w:color w:val="000000" w:themeColor="text1"/>
        </w:rPr>
      </w:pPr>
      <w:r>
        <w:rPr>
          <w:color w:val="000000" w:themeColor="text1"/>
        </w:rPr>
        <w:t>由</w:t>
      </w:r>
      <w:r>
        <w:rPr>
          <w:color w:val="000000" w:themeColor="text1"/>
        </w:rPr>
        <w:t>CNNIC</w:t>
      </w:r>
      <w:r>
        <w:rPr>
          <w:color w:val="000000" w:themeColor="text1"/>
        </w:rPr>
        <w:t>根据域名列表探测得到。</w:t>
      </w:r>
    </w:p>
    <w:p w14:paraId="317A86F7" w14:textId="77777777" w:rsidR="008810A2" w:rsidRDefault="00D921E0">
      <w:pPr>
        <w:ind w:firstLine="420"/>
        <w:rPr>
          <w:color w:val="000000" w:themeColor="text1"/>
        </w:rPr>
      </w:pPr>
      <w:r>
        <w:rPr>
          <w:rFonts w:ascii="宋体" w:hAnsi="宋体"/>
          <w:color w:val="000000" w:themeColor="text1"/>
        </w:rPr>
        <w:t>“</w:t>
      </w:r>
      <w:r>
        <w:rPr>
          <w:color w:val="000000" w:themeColor="text1"/>
        </w:rPr>
        <w:t>.CN</w:t>
      </w:r>
      <w:r>
        <w:rPr>
          <w:rFonts w:ascii="宋体" w:hAnsi="宋体"/>
          <w:color w:val="000000" w:themeColor="text1"/>
        </w:rPr>
        <w:t>”</w:t>
      </w:r>
      <w:r>
        <w:rPr>
          <w:color w:val="000000" w:themeColor="text1"/>
        </w:rPr>
        <w:t>和</w:t>
      </w:r>
      <w:r>
        <w:rPr>
          <w:rFonts w:ascii="宋体" w:hAnsi="宋体"/>
          <w:color w:val="000000" w:themeColor="text1"/>
        </w:rPr>
        <w:t>“</w:t>
      </w:r>
      <w:r>
        <w:rPr>
          <w:color w:val="000000" w:themeColor="text1"/>
        </w:rPr>
        <w:t>.</w:t>
      </w:r>
      <w:r>
        <w:rPr>
          <w:color w:val="000000" w:themeColor="text1"/>
        </w:rPr>
        <w:t>中国</w:t>
      </w:r>
      <w:r>
        <w:rPr>
          <w:rFonts w:ascii="宋体" w:hAnsi="宋体"/>
          <w:color w:val="000000" w:themeColor="text1"/>
        </w:rPr>
        <w:t>”</w:t>
      </w:r>
      <w:r>
        <w:rPr>
          <w:color w:val="000000" w:themeColor="text1"/>
        </w:rPr>
        <w:t>域名列表由</w:t>
      </w:r>
      <w:r>
        <w:rPr>
          <w:color w:val="000000" w:themeColor="text1"/>
        </w:rPr>
        <w:t>CNNIC</w:t>
      </w:r>
      <w:r>
        <w:rPr>
          <w:color w:val="000000" w:themeColor="text1"/>
        </w:rPr>
        <w:t>数据库提供，</w:t>
      </w:r>
      <w:r>
        <w:rPr>
          <w:rFonts w:hint="eastAsia"/>
          <w:color w:val="000000" w:themeColor="text1"/>
        </w:rPr>
        <w:t>传统</w:t>
      </w:r>
      <w:r>
        <w:rPr>
          <w:color w:val="000000" w:themeColor="text1"/>
        </w:rPr>
        <w:t>通用顶级域名（</w:t>
      </w:r>
      <w:r>
        <w:rPr>
          <w:color w:val="000000" w:themeColor="text1"/>
        </w:rPr>
        <w:t>gTLD</w:t>
      </w:r>
      <w:r>
        <w:rPr>
          <w:color w:val="000000" w:themeColor="text1"/>
        </w:rPr>
        <w:t>）列表由国际相关域名注册局提供。</w:t>
      </w:r>
    </w:p>
    <w:p w14:paraId="4498862D" w14:textId="77777777" w:rsidR="008810A2" w:rsidRDefault="00D921E0">
      <w:pPr>
        <w:ind w:firstLine="482"/>
        <w:rPr>
          <w:b/>
          <w:color w:val="000000" w:themeColor="text1"/>
          <w:sz w:val="24"/>
        </w:rPr>
      </w:pPr>
      <w:r>
        <w:rPr>
          <w:b/>
          <w:color w:val="000000" w:themeColor="text1"/>
          <w:sz w:val="24"/>
        </w:rPr>
        <w:t>2.3</w:t>
      </w:r>
      <w:r>
        <w:rPr>
          <w:b/>
          <w:color w:val="000000" w:themeColor="text1"/>
          <w:sz w:val="24"/>
        </w:rPr>
        <w:tab/>
      </w:r>
      <w:r>
        <w:rPr>
          <w:b/>
          <w:color w:val="000000" w:themeColor="text1"/>
          <w:sz w:val="24"/>
          <w:lang w:val="zh-CN"/>
        </w:rPr>
        <w:t>域名数</w:t>
      </w:r>
    </w:p>
    <w:p w14:paraId="2A603B06" w14:textId="77777777" w:rsidR="008810A2" w:rsidRDefault="00D921E0">
      <w:pPr>
        <w:ind w:firstLine="420"/>
        <w:rPr>
          <w:color w:val="000000" w:themeColor="text1"/>
        </w:rPr>
      </w:pPr>
      <w:r>
        <w:rPr>
          <w:rFonts w:ascii="宋体" w:hAnsi="宋体"/>
          <w:color w:val="000000" w:themeColor="text1"/>
        </w:rPr>
        <w:t>“</w:t>
      </w:r>
      <w:r>
        <w:rPr>
          <w:color w:val="000000" w:themeColor="text1"/>
        </w:rPr>
        <w:t>.CN</w:t>
      </w:r>
      <w:r>
        <w:rPr>
          <w:rFonts w:ascii="宋体" w:hAnsi="宋体"/>
          <w:color w:val="000000" w:themeColor="text1"/>
        </w:rPr>
        <w:t>”</w:t>
      </w:r>
      <w:r>
        <w:rPr>
          <w:color w:val="000000" w:themeColor="text1"/>
        </w:rPr>
        <w:t>和</w:t>
      </w:r>
      <w:r>
        <w:rPr>
          <w:rFonts w:ascii="宋体" w:hAnsi="宋体"/>
          <w:color w:val="000000" w:themeColor="text1"/>
        </w:rPr>
        <w:t>“</w:t>
      </w:r>
      <w:r>
        <w:rPr>
          <w:color w:val="000000" w:themeColor="text1"/>
        </w:rPr>
        <w:t>.</w:t>
      </w:r>
      <w:r>
        <w:rPr>
          <w:color w:val="000000" w:themeColor="text1"/>
        </w:rPr>
        <w:t>中国</w:t>
      </w:r>
      <w:r>
        <w:rPr>
          <w:rFonts w:ascii="宋体" w:hAnsi="宋体"/>
          <w:color w:val="000000" w:themeColor="text1"/>
        </w:rPr>
        <w:t>”</w:t>
      </w:r>
      <w:r>
        <w:rPr>
          <w:color w:val="000000" w:themeColor="text1"/>
        </w:rPr>
        <w:t>域名数量为全球注册量，来源于</w:t>
      </w:r>
      <w:r>
        <w:rPr>
          <w:color w:val="000000" w:themeColor="text1"/>
        </w:rPr>
        <w:t>CNNIC</w:t>
      </w:r>
      <w:r>
        <w:rPr>
          <w:color w:val="000000" w:themeColor="text1"/>
        </w:rPr>
        <w:t>数据库；</w:t>
      </w:r>
      <w:r>
        <w:rPr>
          <w:rFonts w:hint="eastAsia"/>
          <w:color w:val="000000" w:themeColor="text1"/>
        </w:rPr>
        <w:t>传统</w:t>
      </w:r>
      <w:r>
        <w:rPr>
          <w:color w:val="000000" w:themeColor="text1"/>
        </w:rPr>
        <w:t>通用顶级域名（</w:t>
      </w:r>
      <w:r>
        <w:rPr>
          <w:color w:val="000000" w:themeColor="text1"/>
        </w:rPr>
        <w:t>gTLD</w:t>
      </w:r>
      <w:r>
        <w:rPr>
          <w:color w:val="000000" w:themeColor="text1"/>
        </w:rPr>
        <w:t>）、新通用顶级域名（</w:t>
      </w:r>
      <w:r>
        <w:rPr>
          <w:color w:val="000000" w:themeColor="text1"/>
        </w:rPr>
        <w:t>New gTLD</w:t>
      </w:r>
      <w:r>
        <w:rPr>
          <w:color w:val="000000" w:themeColor="text1"/>
        </w:rPr>
        <w:t>），以及</w:t>
      </w:r>
      <w:r>
        <w:rPr>
          <w:rFonts w:ascii="宋体" w:hAnsi="宋体"/>
          <w:color w:val="000000" w:themeColor="text1"/>
        </w:rPr>
        <w:t>“</w:t>
      </w:r>
      <w:r>
        <w:rPr>
          <w:color w:val="000000" w:themeColor="text1"/>
        </w:rPr>
        <w:t>.CO</w:t>
      </w:r>
      <w:r>
        <w:rPr>
          <w:rFonts w:ascii="宋体" w:hAnsi="宋体"/>
          <w:color w:val="000000" w:themeColor="text1"/>
        </w:rPr>
        <w:t>”“</w:t>
      </w:r>
      <w:r>
        <w:rPr>
          <w:color w:val="000000" w:themeColor="text1"/>
        </w:rPr>
        <w:t>.TV</w:t>
      </w:r>
      <w:r>
        <w:rPr>
          <w:rFonts w:ascii="宋体" w:hAnsi="宋体"/>
          <w:color w:val="000000" w:themeColor="text1"/>
        </w:rPr>
        <w:t>”“</w:t>
      </w:r>
      <w:r>
        <w:rPr>
          <w:color w:val="000000" w:themeColor="text1"/>
        </w:rPr>
        <w:t>.CC</w:t>
      </w:r>
      <w:r>
        <w:rPr>
          <w:rFonts w:ascii="宋体" w:hAnsi="宋体"/>
          <w:color w:val="000000" w:themeColor="text1"/>
        </w:rPr>
        <w:t>”“</w:t>
      </w:r>
      <w:r>
        <w:rPr>
          <w:color w:val="000000" w:themeColor="text1"/>
        </w:rPr>
        <w:t>.ME</w:t>
      </w:r>
      <w:r>
        <w:rPr>
          <w:rFonts w:ascii="宋体" w:hAnsi="宋体"/>
          <w:color w:val="000000" w:themeColor="text1"/>
        </w:rPr>
        <w:t>”“</w:t>
      </w:r>
      <w:r>
        <w:rPr>
          <w:color w:val="000000" w:themeColor="text1"/>
        </w:rPr>
        <w:t>.HK</w:t>
      </w:r>
      <w:r>
        <w:rPr>
          <w:rFonts w:ascii="宋体" w:hAnsi="宋体"/>
          <w:color w:val="000000" w:themeColor="text1"/>
        </w:rPr>
        <w:t>”</w:t>
      </w:r>
      <w:r>
        <w:rPr>
          <w:color w:val="000000" w:themeColor="text1"/>
        </w:rPr>
        <w:t>和</w:t>
      </w:r>
      <w:r>
        <w:rPr>
          <w:rFonts w:ascii="宋体" w:hAnsi="宋体"/>
          <w:color w:val="000000" w:themeColor="text1"/>
        </w:rPr>
        <w:t>“</w:t>
      </w:r>
      <w:r>
        <w:rPr>
          <w:color w:val="000000" w:themeColor="text1"/>
        </w:rPr>
        <w:t>.PW</w:t>
      </w:r>
      <w:r>
        <w:rPr>
          <w:rFonts w:ascii="宋体" w:hAnsi="宋体"/>
          <w:color w:val="000000" w:themeColor="text1"/>
        </w:rPr>
        <w:t>”</w:t>
      </w:r>
      <w:r>
        <w:rPr>
          <w:color w:val="000000" w:themeColor="text1"/>
        </w:rPr>
        <w:t>由国内域名注册单位协助提供。</w:t>
      </w:r>
    </w:p>
    <w:p w14:paraId="48C52461" w14:textId="77777777" w:rsidR="008810A2" w:rsidRDefault="00D921E0">
      <w:pPr>
        <w:keepNext/>
        <w:keepLines/>
        <w:numPr>
          <w:ilvl w:val="0"/>
          <w:numId w:val="15"/>
        </w:numPr>
        <w:topLinePunct/>
        <w:snapToGrid w:val="0"/>
        <w:spacing w:before="400" w:after="300" w:line="312" w:lineRule="auto"/>
        <w:ind w:left="0" w:firstLineChars="0" w:firstLine="0"/>
        <w:rPr>
          <w:rFonts w:eastAsia="黑体"/>
          <w:color w:val="000000" w:themeColor="text1"/>
          <w:sz w:val="36"/>
          <w:szCs w:val="36"/>
          <w:u w:color="999999"/>
        </w:rPr>
      </w:pPr>
      <w:bookmarkStart w:id="340" w:name="_Toc159230073"/>
      <w:bookmarkStart w:id="341" w:name="_Toc142917150"/>
      <w:bookmarkStart w:id="342" w:name="_Toc157950690"/>
      <w:bookmarkStart w:id="343" w:name="_Toc173311231"/>
      <w:bookmarkStart w:id="344" w:name="_Toc173315474"/>
      <w:bookmarkStart w:id="345" w:name="_Toc142482358"/>
      <w:bookmarkStart w:id="346" w:name="_Toc142489581"/>
      <w:bookmarkStart w:id="347" w:name="_Toc159327244"/>
      <w:bookmarkStart w:id="348" w:name="_Toc151038962"/>
      <w:bookmarkStart w:id="349" w:name="_Toc173311334"/>
      <w:bookmarkStart w:id="350" w:name="_Toc157938288"/>
      <w:bookmarkStart w:id="351" w:name="_Toc159230607"/>
      <w:bookmarkStart w:id="352" w:name="_Toc142917033"/>
      <w:bookmarkStart w:id="353" w:name="_Toc159233455"/>
      <w:bookmarkStart w:id="354" w:name="_Toc141257395"/>
      <w:r>
        <w:rPr>
          <w:rFonts w:eastAsia="黑体"/>
          <w:color w:val="000000" w:themeColor="text1"/>
          <w:sz w:val="36"/>
          <w:szCs w:val="36"/>
          <w:u w:color="999999"/>
        </w:rPr>
        <w:t>报告术语界定</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4E1176DA" w14:textId="77777777" w:rsidR="008810A2" w:rsidRDefault="00D921E0">
      <w:pPr>
        <w:pStyle w:val="a3"/>
        <w:numPr>
          <w:ilvl w:val="0"/>
          <w:numId w:val="18"/>
        </w:numPr>
        <w:tabs>
          <w:tab w:val="clear" w:pos="420"/>
        </w:tabs>
        <w:ind w:left="0" w:firstLine="422"/>
        <w:rPr>
          <w:color w:val="000000" w:themeColor="text1"/>
        </w:rPr>
      </w:pPr>
      <w:r>
        <w:rPr>
          <w:b/>
          <w:bCs/>
          <w:color w:val="000000" w:themeColor="text1"/>
        </w:rPr>
        <w:t>网民：</w:t>
      </w:r>
      <w:r>
        <w:rPr>
          <w:color w:val="000000" w:themeColor="text1"/>
        </w:rPr>
        <w:t>指过去半年内</w:t>
      </w:r>
      <w:r>
        <w:rPr>
          <w:rFonts w:hint="eastAsia"/>
          <w:color w:val="000000" w:themeColor="text1"/>
        </w:rPr>
        <w:t>我国</w:t>
      </w:r>
      <w:r>
        <w:rPr>
          <w:color w:val="000000" w:themeColor="text1"/>
        </w:rPr>
        <w:t>使用过互联网的</w:t>
      </w:r>
      <w:r>
        <w:rPr>
          <w:color w:val="000000" w:themeColor="text1"/>
        </w:rPr>
        <w:t>6</w:t>
      </w:r>
      <w:r>
        <w:rPr>
          <w:color w:val="000000" w:themeColor="text1"/>
        </w:rPr>
        <w:t>周岁及以上居民。</w:t>
      </w:r>
    </w:p>
    <w:p w14:paraId="0F096C54" w14:textId="77777777" w:rsidR="008810A2" w:rsidRDefault="00D921E0">
      <w:pPr>
        <w:pStyle w:val="a3"/>
        <w:numPr>
          <w:ilvl w:val="0"/>
          <w:numId w:val="18"/>
        </w:numPr>
        <w:tabs>
          <w:tab w:val="clear" w:pos="420"/>
        </w:tabs>
        <w:ind w:left="0" w:firstLine="422"/>
        <w:rPr>
          <w:color w:val="000000" w:themeColor="text1"/>
        </w:rPr>
      </w:pPr>
      <w:r>
        <w:rPr>
          <w:b/>
          <w:bCs/>
          <w:color w:val="000000" w:themeColor="text1"/>
        </w:rPr>
        <w:t>手机网民：</w:t>
      </w:r>
      <w:r>
        <w:rPr>
          <w:color w:val="000000" w:themeColor="text1"/>
        </w:rPr>
        <w:t>指过去半年通过手机接入并使用互联网的网民。</w:t>
      </w:r>
    </w:p>
    <w:p w14:paraId="778D91E7" w14:textId="77777777" w:rsidR="008810A2" w:rsidRDefault="00D921E0">
      <w:pPr>
        <w:pStyle w:val="a3"/>
        <w:numPr>
          <w:ilvl w:val="0"/>
          <w:numId w:val="18"/>
        </w:numPr>
        <w:tabs>
          <w:tab w:val="clear" w:pos="420"/>
        </w:tabs>
        <w:ind w:left="0" w:firstLine="422"/>
        <w:rPr>
          <w:color w:val="000000" w:themeColor="text1"/>
        </w:rPr>
      </w:pPr>
      <w:r>
        <w:rPr>
          <w:b/>
          <w:bCs/>
          <w:color w:val="000000" w:themeColor="text1"/>
        </w:rPr>
        <w:t>电脑网民：</w:t>
      </w:r>
      <w:r>
        <w:rPr>
          <w:color w:val="000000" w:themeColor="text1"/>
        </w:rPr>
        <w:t>指过去半年通过电脑接入并使用互联网的网民。</w:t>
      </w:r>
    </w:p>
    <w:p w14:paraId="0D233E63" w14:textId="77777777" w:rsidR="008810A2" w:rsidRDefault="00D921E0">
      <w:pPr>
        <w:pStyle w:val="a3"/>
        <w:numPr>
          <w:ilvl w:val="0"/>
          <w:numId w:val="18"/>
        </w:numPr>
        <w:tabs>
          <w:tab w:val="clear" w:pos="420"/>
        </w:tabs>
        <w:ind w:left="0" w:firstLine="422"/>
        <w:rPr>
          <w:bCs/>
          <w:color w:val="000000" w:themeColor="text1"/>
        </w:rPr>
      </w:pPr>
      <w:r>
        <w:rPr>
          <w:b/>
          <w:bCs/>
          <w:color w:val="000000" w:themeColor="text1"/>
        </w:rPr>
        <w:t>农村网民：</w:t>
      </w:r>
      <w:r>
        <w:rPr>
          <w:bCs/>
          <w:color w:val="000000" w:themeColor="text1"/>
        </w:rPr>
        <w:t>指过去半年主要居住在我国农村地区的网民。</w:t>
      </w:r>
    </w:p>
    <w:p w14:paraId="1C1D0BFF" w14:textId="77777777" w:rsidR="008810A2" w:rsidRDefault="00D921E0">
      <w:pPr>
        <w:pStyle w:val="a3"/>
        <w:numPr>
          <w:ilvl w:val="0"/>
          <w:numId w:val="18"/>
        </w:numPr>
        <w:tabs>
          <w:tab w:val="clear" w:pos="420"/>
        </w:tabs>
        <w:ind w:left="0" w:firstLine="422"/>
        <w:rPr>
          <w:bCs/>
          <w:color w:val="000000" w:themeColor="text1"/>
        </w:rPr>
      </w:pPr>
      <w:r>
        <w:rPr>
          <w:b/>
          <w:bCs/>
          <w:color w:val="000000" w:themeColor="text1"/>
        </w:rPr>
        <w:t>城镇网民：</w:t>
      </w:r>
      <w:r>
        <w:rPr>
          <w:bCs/>
          <w:color w:val="000000" w:themeColor="text1"/>
        </w:rPr>
        <w:t>指过去半年主要居住在我国城镇地区的网民。</w:t>
      </w:r>
    </w:p>
    <w:p w14:paraId="2161F9AC" w14:textId="77777777" w:rsidR="008810A2" w:rsidRDefault="00D921E0">
      <w:pPr>
        <w:pStyle w:val="a3"/>
        <w:numPr>
          <w:ilvl w:val="0"/>
          <w:numId w:val="18"/>
        </w:numPr>
        <w:tabs>
          <w:tab w:val="clear" w:pos="420"/>
        </w:tabs>
        <w:ind w:left="0" w:firstLine="422"/>
        <w:rPr>
          <w:color w:val="000000" w:themeColor="text1"/>
        </w:rPr>
      </w:pPr>
      <w:r>
        <w:rPr>
          <w:b/>
          <w:bCs/>
          <w:color w:val="000000" w:themeColor="text1"/>
        </w:rPr>
        <w:t>IP</w:t>
      </w:r>
      <w:r>
        <w:rPr>
          <w:b/>
          <w:bCs/>
          <w:color w:val="000000" w:themeColor="text1"/>
        </w:rPr>
        <w:t>地址：</w:t>
      </w:r>
      <w:r>
        <w:rPr>
          <w:color w:val="000000" w:themeColor="text1"/>
        </w:rPr>
        <w:t>IP</w:t>
      </w:r>
      <w:r>
        <w:rPr>
          <w:color w:val="000000" w:themeColor="text1"/>
        </w:rPr>
        <w:t>地址的作用是标识上网计算机、服务器或者网络中的其他设备，是互联网中的基础资源，只有获得</w:t>
      </w:r>
      <w:r>
        <w:rPr>
          <w:color w:val="000000" w:themeColor="text1"/>
        </w:rPr>
        <w:t>IP</w:t>
      </w:r>
      <w:r>
        <w:rPr>
          <w:color w:val="000000" w:themeColor="text1"/>
        </w:rPr>
        <w:t>地址（无论以何种形式存在），才能和互联网相连。</w:t>
      </w:r>
    </w:p>
    <w:p w14:paraId="46B412A0" w14:textId="77777777" w:rsidR="008810A2" w:rsidRDefault="00D921E0">
      <w:pPr>
        <w:pStyle w:val="a3"/>
        <w:numPr>
          <w:ilvl w:val="0"/>
          <w:numId w:val="18"/>
        </w:numPr>
        <w:tabs>
          <w:tab w:val="clear" w:pos="420"/>
        </w:tabs>
        <w:ind w:left="0" w:firstLine="422"/>
        <w:rPr>
          <w:color w:val="000000" w:themeColor="text1"/>
        </w:rPr>
      </w:pPr>
      <w:r>
        <w:rPr>
          <w:b/>
          <w:bCs/>
          <w:color w:val="000000" w:themeColor="text1"/>
        </w:rPr>
        <w:t>网站：</w:t>
      </w:r>
      <w:r>
        <w:rPr>
          <w:color w:val="000000" w:themeColor="text1"/>
        </w:rPr>
        <w:t>是指以域名本身或者</w:t>
      </w:r>
      <w:r>
        <w:rPr>
          <w:rFonts w:ascii="宋体" w:hAnsi="宋体"/>
          <w:color w:val="000000" w:themeColor="text1"/>
        </w:rPr>
        <w:t>“</w:t>
      </w:r>
      <w:r>
        <w:rPr>
          <w:color w:val="000000" w:themeColor="text1"/>
        </w:rPr>
        <w:t>WWW.+</w:t>
      </w:r>
      <w:r>
        <w:rPr>
          <w:color w:val="000000" w:themeColor="text1"/>
        </w:rPr>
        <w:t>域名</w:t>
      </w:r>
      <w:r>
        <w:rPr>
          <w:rFonts w:ascii="宋体" w:hAnsi="宋体"/>
          <w:color w:val="000000" w:themeColor="text1"/>
        </w:rPr>
        <w:t>”</w:t>
      </w:r>
      <w:r>
        <w:rPr>
          <w:color w:val="000000" w:themeColor="text1"/>
        </w:rPr>
        <w:t>为网址的</w:t>
      </w:r>
      <w:r>
        <w:rPr>
          <w:color w:val="000000" w:themeColor="text1"/>
        </w:rPr>
        <w:t>web</w:t>
      </w:r>
      <w:r>
        <w:rPr>
          <w:color w:val="000000" w:themeColor="text1"/>
        </w:rPr>
        <w:t>站点，其中包括中国的国家顶级域名</w:t>
      </w:r>
      <w:r>
        <w:rPr>
          <w:rFonts w:ascii="宋体" w:hAnsi="宋体"/>
          <w:color w:val="000000" w:themeColor="text1"/>
        </w:rPr>
        <w:t>“</w:t>
      </w:r>
      <w:r>
        <w:rPr>
          <w:color w:val="000000" w:themeColor="text1"/>
        </w:rPr>
        <w:t>.CN</w:t>
      </w:r>
      <w:r>
        <w:rPr>
          <w:rFonts w:ascii="宋体" w:hAnsi="宋体"/>
          <w:color w:val="000000" w:themeColor="text1"/>
        </w:rPr>
        <w:t>”“</w:t>
      </w:r>
      <w:r>
        <w:rPr>
          <w:color w:val="000000" w:themeColor="text1"/>
        </w:rPr>
        <w:t>.</w:t>
      </w:r>
      <w:r>
        <w:rPr>
          <w:color w:val="000000" w:themeColor="text1"/>
        </w:rPr>
        <w:t>中国</w:t>
      </w:r>
      <w:r>
        <w:rPr>
          <w:rFonts w:ascii="宋体" w:hAnsi="宋体"/>
          <w:color w:val="000000" w:themeColor="text1"/>
        </w:rPr>
        <w:t>”</w:t>
      </w:r>
      <w:r>
        <w:rPr>
          <w:color w:val="000000" w:themeColor="text1"/>
        </w:rPr>
        <w:t>和</w:t>
      </w:r>
      <w:r>
        <w:rPr>
          <w:rFonts w:hint="eastAsia"/>
          <w:color w:val="000000" w:themeColor="text1"/>
        </w:rPr>
        <w:t>传统</w:t>
      </w:r>
      <w:r>
        <w:rPr>
          <w:color w:val="000000" w:themeColor="text1"/>
        </w:rPr>
        <w:t>通用顶级域名（</w:t>
      </w:r>
      <w:r>
        <w:rPr>
          <w:color w:val="000000" w:themeColor="text1"/>
        </w:rPr>
        <w:t>gTLD</w:t>
      </w:r>
      <w:r>
        <w:rPr>
          <w:color w:val="000000" w:themeColor="text1"/>
        </w:rPr>
        <w:t>）下的</w:t>
      </w:r>
      <w:r>
        <w:rPr>
          <w:color w:val="000000" w:themeColor="text1"/>
        </w:rPr>
        <w:t>web</w:t>
      </w:r>
      <w:r>
        <w:rPr>
          <w:color w:val="000000" w:themeColor="text1"/>
        </w:rPr>
        <w:t>站点，该域名的注册者位于我国境内。如：对域名</w:t>
      </w:r>
      <w:r>
        <w:rPr>
          <w:color w:val="000000" w:themeColor="text1"/>
        </w:rPr>
        <w:t>CNNIC.CN</w:t>
      </w:r>
      <w:r>
        <w:rPr>
          <w:color w:val="000000" w:themeColor="text1"/>
        </w:rPr>
        <w:t>来说，它的网站只有一个，其对应的网址为</w:t>
      </w:r>
      <w:r>
        <w:rPr>
          <w:color w:val="000000" w:themeColor="text1"/>
        </w:rPr>
        <w:t>CNNIC.CN</w:t>
      </w:r>
      <w:r>
        <w:rPr>
          <w:color w:val="000000" w:themeColor="text1"/>
        </w:rPr>
        <w:t>或</w:t>
      </w:r>
      <w:r>
        <w:rPr>
          <w:color w:val="000000" w:themeColor="text1"/>
        </w:rPr>
        <w:t>WWW.CNNIC.CN</w:t>
      </w:r>
      <w:r>
        <w:rPr>
          <w:color w:val="000000" w:themeColor="text1"/>
        </w:rPr>
        <w:t>，除此以外，</w:t>
      </w:r>
      <w:r>
        <w:rPr>
          <w:color w:val="000000" w:themeColor="text1"/>
        </w:rPr>
        <w:t>WHOIS.CNNIC.CN</w:t>
      </w:r>
      <w:r>
        <w:rPr>
          <w:color w:val="000000" w:themeColor="text1"/>
        </w:rPr>
        <w:t>，</w:t>
      </w:r>
      <w:r>
        <w:rPr>
          <w:color w:val="000000" w:themeColor="text1"/>
        </w:rPr>
        <w:t>MAIL.CNNIC.CN……</w:t>
      </w:r>
      <w:r>
        <w:rPr>
          <w:color w:val="000000" w:themeColor="text1"/>
        </w:rPr>
        <w:t>等以该域名为后缀的网址只被视为该网站的不同频道。</w:t>
      </w:r>
    </w:p>
    <w:p w14:paraId="053B677C" w14:textId="77777777" w:rsidR="008810A2" w:rsidRDefault="00D921E0">
      <w:pPr>
        <w:pStyle w:val="a3"/>
        <w:numPr>
          <w:ilvl w:val="0"/>
          <w:numId w:val="18"/>
        </w:numPr>
        <w:tabs>
          <w:tab w:val="clear" w:pos="420"/>
        </w:tabs>
        <w:ind w:left="0" w:firstLine="422"/>
        <w:rPr>
          <w:b/>
          <w:bCs/>
          <w:color w:val="000000" w:themeColor="text1"/>
        </w:rPr>
      </w:pPr>
      <w:r>
        <w:rPr>
          <w:b/>
          <w:bCs/>
          <w:color w:val="000000" w:themeColor="text1"/>
        </w:rPr>
        <w:t>调查范围：</w:t>
      </w:r>
      <w:r>
        <w:rPr>
          <w:color w:val="000000" w:themeColor="text1"/>
        </w:rPr>
        <w:t>除非明确指出，本报告中的数据指中国内地（大陆）地区，均不包括香港、澳门和台湾在内。</w:t>
      </w:r>
    </w:p>
    <w:p w14:paraId="52FDADFA" w14:textId="77777777" w:rsidR="008810A2" w:rsidRDefault="00D921E0">
      <w:pPr>
        <w:pStyle w:val="a3"/>
        <w:numPr>
          <w:ilvl w:val="0"/>
          <w:numId w:val="18"/>
        </w:numPr>
        <w:tabs>
          <w:tab w:val="clear" w:pos="420"/>
        </w:tabs>
        <w:ind w:left="0" w:firstLine="422"/>
        <w:rPr>
          <w:b/>
          <w:bCs/>
          <w:color w:val="000000" w:themeColor="text1"/>
        </w:rPr>
      </w:pPr>
      <w:r>
        <w:rPr>
          <w:b/>
          <w:bCs/>
          <w:color w:val="000000" w:themeColor="text1"/>
        </w:rPr>
        <w:t>调查数据截止日期：</w:t>
      </w:r>
      <w:r>
        <w:rPr>
          <w:bCs/>
          <w:color w:val="000000" w:themeColor="text1"/>
        </w:rPr>
        <w:t>本次统计调查数据截止日期为</w:t>
      </w:r>
      <w:r>
        <w:rPr>
          <w:bCs/>
          <w:color w:val="000000" w:themeColor="text1"/>
        </w:rPr>
        <w:t>2024</w:t>
      </w:r>
      <w:r>
        <w:rPr>
          <w:bCs/>
          <w:color w:val="000000" w:themeColor="text1"/>
        </w:rPr>
        <w:t>年</w:t>
      </w:r>
      <w:r>
        <w:rPr>
          <w:bCs/>
          <w:color w:val="000000" w:themeColor="text1"/>
        </w:rPr>
        <w:t>6</w:t>
      </w:r>
      <w:r>
        <w:rPr>
          <w:bCs/>
          <w:color w:val="000000" w:themeColor="text1"/>
        </w:rPr>
        <w:t>月</w:t>
      </w:r>
      <w:r>
        <w:rPr>
          <w:bCs/>
          <w:color w:val="000000" w:themeColor="text1"/>
        </w:rPr>
        <w:t>30</w:t>
      </w:r>
      <w:r>
        <w:rPr>
          <w:bCs/>
          <w:color w:val="000000" w:themeColor="text1"/>
        </w:rPr>
        <w:t>日。</w:t>
      </w:r>
    </w:p>
    <w:p w14:paraId="690836EB" w14:textId="77777777" w:rsidR="008810A2" w:rsidRDefault="00D921E0">
      <w:pPr>
        <w:pStyle w:val="a3"/>
        <w:numPr>
          <w:ilvl w:val="0"/>
          <w:numId w:val="18"/>
        </w:numPr>
        <w:tabs>
          <w:tab w:val="clear" w:pos="420"/>
        </w:tabs>
        <w:ind w:left="0" w:firstLineChars="201" w:firstLine="424"/>
        <w:rPr>
          <w:color w:val="000000" w:themeColor="text1"/>
        </w:rPr>
      </w:pPr>
      <w:r>
        <w:rPr>
          <w:b/>
          <w:bCs/>
          <w:color w:val="000000" w:themeColor="text1"/>
        </w:rPr>
        <w:t>数据说明：</w:t>
      </w:r>
      <w:r>
        <w:rPr>
          <w:bCs/>
          <w:color w:val="000000" w:themeColor="text1"/>
        </w:rPr>
        <w:t>本报告中的数据多为四舍五入、保留有效位数后的近似值。</w:t>
      </w:r>
    </w:p>
    <w:p w14:paraId="7B2FD32C" w14:textId="77777777" w:rsidR="008810A2" w:rsidRDefault="008810A2">
      <w:pPr>
        <w:pStyle w:val="a3"/>
        <w:ind w:left="422" w:firstLineChars="0" w:firstLine="0"/>
        <w:rPr>
          <w:color w:val="000000" w:themeColor="text1"/>
        </w:rPr>
        <w:sectPr w:rsidR="008810A2">
          <w:headerReference w:type="even" r:id="rId67"/>
          <w:headerReference w:type="default" r:id="rId68"/>
          <w:footerReference w:type="even" r:id="rId69"/>
          <w:footerReference w:type="default" r:id="rId70"/>
          <w:headerReference w:type="first" r:id="rId71"/>
          <w:footerReference w:type="first" r:id="rId72"/>
          <w:pgSz w:w="11906" w:h="16838"/>
          <w:pgMar w:top="1440" w:right="1843" w:bottom="1440" w:left="1797" w:header="851" w:footer="992" w:gutter="0"/>
          <w:pgNumType w:start="1"/>
          <w:cols w:space="425"/>
          <w:docGrid w:type="lines" w:linePitch="312"/>
        </w:sectPr>
      </w:pPr>
    </w:p>
    <w:p w14:paraId="74C53E36" w14:textId="77777777" w:rsidR="008810A2" w:rsidRDefault="00D921E0">
      <w:pPr>
        <w:pStyle w:val="1"/>
        <w:spacing w:before="120" w:after="600" w:line="312" w:lineRule="auto"/>
        <w:ind w:firstLineChars="0" w:firstLine="0"/>
        <w:rPr>
          <w:rFonts w:eastAsia="仿宋_GB2312"/>
          <w:b/>
          <w:color w:val="000000" w:themeColor="text1"/>
          <w:sz w:val="52"/>
          <w:szCs w:val="52"/>
        </w:rPr>
      </w:pPr>
      <w:bookmarkStart w:id="355" w:name="_Toc141105726"/>
      <w:bookmarkStart w:id="356" w:name="_Toc175065730"/>
      <w:r>
        <w:rPr>
          <w:rFonts w:eastAsia="仿宋_GB2312"/>
          <w:b/>
          <w:color w:val="000000" w:themeColor="text1"/>
          <w:sz w:val="52"/>
          <w:szCs w:val="52"/>
        </w:rPr>
        <w:lastRenderedPageBreak/>
        <w:t>附录二</w:t>
      </w:r>
      <w:r>
        <w:rPr>
          <w:rFonts w:eastAsia="仿宋_GB2312" w:hint="eastAsia"/>
          <w:b/>
          <w:color w:val="000000" w:themeColor="text1"/>
          <w:sz w:val="52"/>
          <w:szCs w:val="52"/>
        </w:rPr>
        <w:t xml:space="preserve"> </w:t>
      </w:r>
      <w:r>
        <w:rPr>
          <w:rFonts w:eastAsia="仿宋_GB2312"/>
          <w:b/>
          <w:color w:val="000000" w:themeColor="text1"/>
          <w:sz w:val="52"/>
          <w:szCs w:val="52"/>
        </w:rPr>
        <w:t>互联网基础资源附表</w:t>
      </w:r>
      <w:bookmarkEnd w:id="355"/>
      <w:bookmarkEnd w:id="356"/>
    </w:p>
    <w:p w14:paraId="4DF087F1" w14:textId="1F171E2F" w:rsidR="008810A2" w:rsidRDefault="00D921E0" w:rsidP="002B0D05">
      <w:pPr>
        <w:pStyle w:val="a4"/>
      </w:pPr>
      <w:r>
        <w:t>附表</w:t>
      </w:r>
      <w:r>
        <w:t xml:space="preserve"> </w:t>
      </w:r>
      <w:r>
        <w:fldChar w:fldCharType="begin"/>
      </w:r>
      <w:r>
        <w:instrText xml:space="preserve"> SEQ </w:instrText>
      </w:r>
      <w:r>
        <w:instrText>附表</w:instrText>
      </w:r>
      <w:r>
        <w:instrText xml:space="preserve"> \* ARABIC </w:instrText>
      </w:r>
      <w:r>
        <w:fldChar w:fldCharType="separate"/>
      </w:r>
      <w:r w:rsidR="00A057C8">
        <w:rPr>
          <w:noProof/>
        </w:rPr>
        <w:t>1</w:t>
      </w:r>
      <w:r>
        <w:fldChar w:fldCharType="end"/>
      </w:r>
      <w:r>
        <w:t xml:space="preserve">  IPv4</w:t>
      </w:r>
      <w:r>
        <w:t>地址数</w:t>
      </w:r>
    </w:p>
    <w:tbl>
      <w:tblPr>
        <w:tblW w:w="8119"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95"/>
        <w:gridCol w:w="1843"/>
        <w:gridCol w:w="2081"/>
      </w:tblGrid>
      <w:tr w:rsidR="008810A2" w14:paraId="585B4D99" w14:textId="77777777" w:rsidTr="00407C9F">
        <w:trPr>
          <w:trHeight w:val="340"/>
        </w:trPr>
        <w:tc>
          <w:tcPr>
            <w:tcW w:w="4195" w:type="dxa"/>
            <w:tcBorders>
              <w:top w:val="single" w:sz="4" w:space="0" w:color="auto"/>
              <w:bottom w:val="single" w:sz="4" w:space="0" w:color="auto"/>
              <w:right w:val="single" w:sz="4" w:space="0" w:color="auto"/>
            </w:tcBorders>
            <w:noWrap/>
            <w:vAlign w:val="center"/>
          </w:tcPr>
          <w:p w14:paraId="1F9BF8CD"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地区</w:t>
            </w:r>
          </w:p>
        </w:tc>
        <w:tc>
          <w:tcPr>
            <w:tcW w:w="1843" w:type="dxa"/>
            <w:tcBorders>
              <w:top w:val="single" w:sz="4" w:space="0" w:color="auto"/>
              <w:left w:val="single" w:sz="4" w:space="0" w:color="auto"/>
              <w:bottom w:val="single" w:sz="4" w:space="0" w:color="auto"/>
              <w:right w:val="single" w:sz="4" w:space="0" w:color="auto"/>
            </w:tcBorders>
            <w:noWrap/>
            <w:vAlign w:val="center"/>
          </w:tcPr>
          <w:p w14:paraId="3DA4988E"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地址量</w:t>
            </w:r>
          </w:p>
        </w:tc>
        <w:tc>
          <w:tcPr>
            <w:tcW w:w="2081" w:type="dxa"/>
            <w:tcBorders>
              <w:top w:val="single" w:sz="4" w:space="0" w:color="auto"/>
              <w:left w:val="single" w:sz="4" w:space="0" w:color="auto"/>
              <w:bottom w:val="single" w:sz="4" w:space="0" w:color="auto"/>
            </w:tcBorders>
            <w:noWrap/>
            <w:vAlign w:val="center"/>
          </w:tcPr>
          <w:p w14:paraId="6E7D4F62"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折合数</w:t>
            </w:r>
          </w:p>
        </w:tc>
      </w:tr>
      <w:tr w:rsidR="008810A2" w14:paraId="44A2C574" w14:textId="77777777" w:rsidTr="00407C9F">
        <w:trPr>
          <w:trHeight w:val="340"/>
        </w:trPr>
        <w:tc>
          <w:tcPr>
            <w:tcW w:w="4195" w:type="dxa"/>
            <w:tcBorders>
              <w:top w:val="single" w:sz="4" w:space="0" w:color="auto"/>
              <w:bottom w:val="nil"/>
              <w:right w:val="single" w:sz="4" w:space="0" w:color="auto"/>
            </w:tcBorders>
            <w:noWrap/>
            <w:vAlign w:val="center"/>
          </w:tcPr>
          <w:p w14:paraId="41BCCF1B"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中国内地（大陆）</w:t>
            </w:r>
          </w:p>
        </w:tc>
        <w:tc>
          <w:tcPr>
            <w:tcW w:w="1843" w:type="dxa"/>
            <w:tcBorders>
              <w:top w:val="single" w:sz="4" w:space="0" w:color="auto"/>
              <w:left w:val="single" w:sz="4" w:space="0" w:color="auto"/>
              <w:bottom w:val="nil"/>
              <w:right w:val="single" w:sz="4" w:space="0" w:color="auto"/>
            </w:tcBorders>
            <w:noWrap/>
            <w:vAlign w:val="center"/>
          </w:tcPr>
          <w:p w14:paraId="03622790" w14:textId="77777777" w:rsidR="008810A2" w:rsidRDefault="00D921E0">
            <w:pPr>
              <w:spacing w:line="240" w:lineRule="auto"/>
              <w:ind w:rightChars="153" w:right="321" w:firstLineChars="0" w:firstLine="0"/>
              <w:jc w:val="right"/>
              <w:rPr>
                <w:rFonts w:eastAsiaTheme="minorEastAsia"/>
                <w:color w:val="000000" w:themeColor="text1"/>
                <w:kern w:val="0"/>
                <w:sz w:val="20"/>
                <w:szCs w:val="20"/>
              </w:rPr>
            </w:pPr>
            <w:r>
              <w:rPr>
                <w:rFonts w:eastAsia="等线"/>
                <w:color w:val="000000"/>
                <w:sz w:val="20"/>
                <w:szCs w:val="20"/>
              </w:rPr>
              <w:t>343,168,256</w:t>
            </w:r>
          </w:p>
        </w:tc>
        <w:tc>
          <w:tcPr>
            <w:tcW w:w="2081" w:type="dxa"/>
            <w:tcBorders>
              <w:top w:val="single" w:sz="4" w:space="0" w:color="auto"/>
              <w:left w:val="single" w:sz="4" w:space="0" w:color="auto"/>
              <w:bottom w:val="nil"/>
            </w:tcBorders>
            <w:noWrap/>
            <w:vAlign w:val="center"/>
          </w:tcPr>
          <w:p w14:paraId="6794703D" w14:textId="77777777" w:rsidR="008810A2" w:rsidRDefault="00D921E0">
            <w:pPr>
              <w:spacing w:line="240" w:lineRule="auto"/>
              <w:ind w:rightChars="129" w:right="271" w:firstLineChars="0" w:firstLine="0"/>
              <w:jc w:val="right"/>
              <w:rPr>
                <w:rFonts w:eastAsiaTheme="minorEastAsia"/>
                <w:color w:val="000000" w:themeColor="text1"/>
                <w:kern w:val="0"/>
                <w:sz w:val="20"/>
                <w:szCs w:val="20"/>
              </w:rPr>
            </w:pPr>
            <w:r>
              <w:rPr>
                <w:rFonts w:eastAsia="等线"/>
                <w:color w:val="000000"/>
                <w:sz w:val="20"/>
                <w:szCs w:val="20"/>
              </w:rPr>
              <w:t>20A+116B+85C</w:t>
            </w:r>
          </w:p>
        </w:tc>
      </w:tr>
      <w:tr w:rsidR="008810A2" w14:paraId="77CDAF44" w14:textId="77777777" w:rsidTr="00407C9F">
        <w:trPr>
          <w:trHeight w:val="340"/>
        </w:trPr>
        <w:tc>
          <w:tcPr>
            <w:tcW w:w="4195" w:type="dxa"/>
            <w:tcBorders>
              <w:top w:val="nil"/>
              <w:bottom w:val="nil"/>
              <w:right w:val="single" w:sz="4" w:space="0" w:color="auto"/>
            </w:tcBorders>
            <w:noWrap/>
            <w:vAlign w:val="center"/>
          </w:tcPr>
          <w:p w14:paraId="337DBF32"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香港</w:t>
            </w:r>
          </w:p>
        </w:tc>
        <w:tc>
          <w:tcPr>
            <w:tcW w:w="1843" w:type="dxa"/>
            <w:tcBorders>
              <w:top w:val="nil"/>
              <w:left w:val="single" w:sz="4" w:space="0" w:color="auto"/>
              <w:bottom w:val="nil"/>
              <w:right w:val="single" w:sz="4" w:space="0" w:color="auto"/>
            </w:tcBorders>
            <w:noWrap/>
            <w:vAlign w:val="center"/>
          </w:tcPr>
          <w:p w14:paraId="7A1CA2A6" w14:textId="77777777" w:rsidR="008810A2" w:rsidRDefault="00D921E0">
            <w:pPr>
              <w:spacing w:line="240" w:lineRule="auto"/>
              <w:ind w:rightChars="153" w:right="321" w:firstLineChars="0" w:firstLine="0"/>
              <w:jc w:val="right"/>
              <w:rPr>
                <w:rFonts w:eastAsiaTheme="minorEastAsia"/>
                <w:color w:val="000000" w:themeColor="text1"/>
                <w:kern w:val="0"/>
                <w:sz w:val="20"/>
                <w:szCs w:val="20"/>
              </w:rPr>
            </w:pPr>
            <w:r>
              <w:rPr>
                <w:rFonts w:eastAsia="等线"/>
                <w:color w:val="000000"/>
                <w:sz w:val="20"/>
                <w:szCs w:val="20"/>
              </w:rPr>
              <w:t>13,127,424</w:t>
            </w:r>
          </w:p>
        </w:tc>
        <w:tc>
          <w:tcPr>
            <w:tcW w:w="2081" w:type="dxa"/>
            <w:tcBorders>
              <w:top w:val="nil"/>
              <w:left w:val="single" w:sz="4" w:space="0" w:color="auto"/>
              <w:bottom w:val="nil"/>
            </w:tcBorders>
            <w:noWrap/>
            <w:vAlign w:val="center"/>
          </w:tcPr>
          <w:p w14:paraId="3798B111" w14:textId="77777777" w:rsidR="008810A2" w:rsidRDefault="00D921E0">
            <w:pPr>
              <w:spacing w:line="240" w:lineRule="auto"/>
              <w:ind w:rightChars="129" w:right="271" w:firstLineChars="0" w:firstLine="0"/>
              <w:jc w:val="right"/>
              <w:rPr>
                <w:rFonts w:eastAsiaTheme="minorEastAsia"/>
                <w:color w:val="000000" w:themeColor="text1"/>
                <w:kern w:val="0"/>
                <w:sz w:val="20"/>
                <w:szCs w:val="20"/>
              </w:rPr>
            </w:pPr>
            <w:r>
              <w:rPr>
                <w:rFonts w:eastAsia="等线"/>
                <w:color w:val="000000"/>
                <w:sz w:val="20"/>
                <w:szCs w:val="20"/>
              </w:rPr>
              <w:t>200B+79C</w:t>
            </w:r>
          </w:p>
        </w:tc>
      </w:tr>
      <w:tr w:rsidR="008810A2" w14:paraId="29600084" w14:textId="77777777" w:rsidTr="00407C9F">
        <w:trPr>
          <w:trHeight w:val="340"/>
        </w:trPr>
        <w:tc>
          <w:tcPr>
            <w:tcW w:w="4195" w:type="dxa"/>
            <w:tcBorders>
              <w:top w:val="nil"/>
              <w:bottom w:val="nil"/>
              <w:right w:val="single" w:sz="4" w:space="0" w:color="auto"/>
            </w:tcBorders>
            <w:noWrap/>
            <w:vAlign w:val="center"/>
          </w:tcPr>
          <w:p w14:paraId="28C9B898"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澳门</w:t>
            </w:r>
          </w:p>
        </w:tc>
        <w:tc>
          <w:tcPr>
            <w:tcW w:w="1843" w:type="dxa"/>
            <w:tcBorders>
              <w:top w:val="nil"/>
              <w:left w:val="single" w:sz="4" w:space="0" w:color="auto"/>
              <w:bottom w:val="nil"/>
              <w:right w:val="single" w:sz="4" w:space="0" w:color="auto"/>
            </w:tcBorders>
            <w:noWrap/>
            <w:vAlign w:val="center"/>
          </w:tcPr>
          <w:p w14:paraId="5DBB607B" w14:textId="77777777" w:rsidR="008810A2" w:rsidRDefault="00D921E0">
            <w:pPr>
              <w:spacing w:line="240" w:lineRule="auto"/>
              <w:ind w:rightChars="153" w:right="321" w:firstLineChars="0" w:firstLine="0"/>
              <w:jc w:val="right"/>
              <w:rPr>
                <w:rFonts w:eastAsiaTheme="minorEastAsia"/>
                <w:color w:val="000000" w:themeColor="text1"/>
                <w:kern w:val="0"/>
                <w:sz w:val="20"/>
                <w:szCs w:val="20"/>
              </w:rPr>
            </w:pPr>
            <w:r>
              <w:rPr>
                <w:rFonts w:eastAsia="等线"/>
                <w:color w:val="000000"/>
                <w:sz w:val="20"/>
                <w:szCs w:val="20"/>
              </w:rPr>
              <w:t>337,920</w:t>
            </w:r>
          </w:p>
        </w:tc>
        <w:tc>
          <w:tcPr>
            <w:tcW w:w="2081" w:type="dxa"/>
            <w:tcBorders>
              <w:top w:val="nil"/>
              <w:left w:val="single" w:sz="4" w:space="0" w:color="auto"/>
              <w:bottom w:val="nil"/>
            </w:tcBorders>
            <w:noWrap/>
            <w:vAlign w:val="center"/>
          </w:tcPr>
          <w:p w14:paraId="78713089" w14:textId="77777777" w:rsidR="008810A2" w:rsidRDefault="00D921E0">
            <w:pPr>
              <w:spacing w:line="240" w:lineRule="auto"/>
              <w:ind w:rightChars="129" w:right="271" w:firstLineChars="0" w:firstLine="0"/>
              <w:jc w:val="right"/>
              <w:rPr>
                <w:rFonts w:eastAsiaTheme="minorEastAsia"/>
                <w:color w:val="000000" w:themeColor="text1"/>
                <w:kern w:val="0"/>
                <w:sz w:val="20"/>
                <w:szCs w:val="20"/>
              </w:rPr>
            </w:pPr>
            <w:r>
              <w:rPr>
                <w:rFonts w:eastAsia="等线"/>
                <w:color w:val="000000"/>
                <w:sz w:val="20"/>
                <w:szCs w:val="20"/>
              </w:rPr>
              <w:t>5B+40C</w:t>
            </w:r>
          </w:p>
        </w:tc>
      </w:tr>
      <w:tr w:rsidR="008810A2" w14:paraId="4EFF2840" w14:textId="77777777" w:rsidTr="00407C9F">
        <w:trPr>
          <w:trHeight w:val="340"/>
        </w:trPr>
        <w:tc>
          <w:tcPr>
            <w:tcW w:w="4195" w:type="dxa"/>
            <w:tcBorders>
              <w:top w:val="nil"/>
              <w:right w:val="single" w:sz="4" w:space="0" w:color="auto"/>
            </w:tcBorders>
            <w:noWrap/>
            <w:vAlign w:val="center"/>
          </w:tcPr>
          <w:p w14:paraId="63008E75"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台湾</w:t>
            </w:r>
          </w:p>
        </w:tc>
        <w:tc>
          <w:tcPr>
            <w:tcW w:w="1843" w:type="dxa"/>
            <w:tcBorders>
              <w:top w:val="nil"/>
              <w:left w:val="single" w:sz="4" w:space="0" w:color="auto"/>
              <w:right w:val="single" w:sz="4" w:space="0" w:color="auto"/>
            </w:tcBorders>
            <w:noWrap/>
            <w:vAlign w:val="center"/>
          </w:tcPr>
          <w:p w14:paraId="27661BC9" w14:textId="77777777" w:rsidR="008810A2" w:rsidRDefault="00D921E0">
            <w:pPr>
              <w:spacing w:line="240" w:lineRule="auto"/>
              <w:ind w:rightChars="153" w:right="321" w:firstLineChars="0" w:firstLine="0"/>
              <w:jc w:val="right"/>
              <w:rPr>
                <w:rFonts w:eastAsiaTheme="minorEastAsia"/>
                <w:color w:val="000000" w:themeColor="text1"/>
                <w:kern w:val="0"/>
                <w:sz w:val="20"/>
                <w:szCs w:val="20"/>
              </w:rPr>
            </w:pPr>
            <w:r>
              <w:rPr>
                <w:rFonts w:eastAsia="等线"/>
                <w:color w:val="000000"/>
                <w:sz w:val="20"/>
                <w:szCs w:val="20"/>
              </w:rPr>
              <w:t>35,713,536</w:t>
            </w:r>
          </w:p>
        </w:tc>
        <w:tc>
          <w:tcPr>
            <w:tcW w:w="2081" w:type="dxa"/>
            <w:tcBorders>
              <w:top w:val="nil"/>
              <w:left w:val="single" w:sz="4" w:space="0" w:color="auto"/>
            </w:tcBorders>
            <w:noWrap/>
            <w:vAlign w:val="center"/>
          </w:tcPr>
          <w:p w14:paraId="1344BC79" w14:textId="77777777" w:rsidR="008810A2" w:rsidRDefault="00D921E0">
            <w:pPr>
              <w:spacing w:line="240" w:lineRule="auto"/>
              <w:ind w:rightChars="129" w:right="271" w:firstLineChars="0" w:firstLine="0"/>
              <w:jc w:val="right"/>
              <w:rPr>
                <w:rFonts w:eastAsiaTheme="minorEastAsia"/>
                <w:color w:val="000000" w:themeColor="text1"/>
                <w:kern w:val="0"/>
                <w:sz w:val="20"/>
                <w:szCs w:val="20"/>
              </w:rPr>
            </w:pPr>
            <w:r>
              <w:rPr>
                <w:rFonts w:eastAsia="等线"/>
                <w:color w:val="000000"/>
                <w:sz w:val="20"/>
                <w:szCs w:val="20"/>
              </w:rPr>
              <w:t>2A+32B+242C</w:t>
            </w:r>
          </w:p>
        </w:tc>
      </w:tr>
    </w:tbl>
    <w:p w14:paraId="2DB8053B" w14:textId="77777777" w:rsidR="008810A2" w:rsidRDefault="008810A2">
      <w:pPr>
        <w:ind w:firstLineChars="0" w:firstLine="0"/>
        <w:rPr>
          <w:color w:val="000000" w:themeColor="text1"/>
        </w:rPr>
      </w:pPr>
    </w:p>
    <w:p w14:paraId="07AD6415" w14:textId="50167FB8" w:rsidR="008810A2" w:rsidRDefault="00D921E0" w:rsidP="002B0D05">
      <w:pPr>
        <w:pStyle w:val="a4"/>
      </w:pPr>
      <w:r>
        <w:t>附表</w:t>
      </w:r>
      <w:r>
        <w:t xml:space="preserve"> </w:t>
      </w:r>
      <w:r>
        <w:fldChar w:fldCharType="begin"/>
      </w:r>
      <w:r>
        <w:instrText xml:space="preserve"> SEQ </w:instrText>
      </w:r>
      <w:r>
        <w:instrText>附表</w:instrText>
      </w:r>
      <w:r>
        <w:instrText xml:space="preserve"> \* ARABIC </w:instrText>
      </w:r>
      <w:r>
        <w:fldChar w:fldCharType="separate"/>
      </w:r>
      <w:r w:rsidR="00A057C8">
        <w:rPr>
          <w:noProof/>
        </w:rPr>
        <w:t>2</w:t>
      </w:r>
      <w:r>
        <w:fldChar w:fldCharType="end"/>
      </w:r>
      <w:r>
        <w:t xml:space="preserve">  </w:t>
      </w:r>
      <w:r>
        <w:t>按分配单位</w:t>
      </w:r>
      <w:r>
        <w:t>IPv4</w:t>
      </w:r>
      <w:r>
        <w:t>地址数</w:t>
      </w:r>
    </w:p>
    <w:tbl>
      <w:tblPr>
        <w:tblW w:w="8164"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95"/>
        <w:gridCol w:w="1843"/>
        <w:gridCol w:w="2126"/>
      </w:tblGrid>
      <w:tr w:rsidR="008810A2" w14:paraId="40F2CA37" w14:textId="77777777" w:rsidTr="00407C9F">
        <w:trPr>
          <w:trHeight w:val="360"/>
        </w:trPr>
        <w:tc>
          <w:tcPr>
            <w:tcW w:w="4195" w:type="dxa"/>
            <w:tcBorders>
              <w:top w:val="single" w:sz="4" w:space="0" w:color="auto"/>
              <w:right w:val="single" w:sz="4" w:space="0" w:color="auto"/>
            </w:tcBorders>
            <w:noWrap/>
            <w:vAlign w:val="center"/>
          </w:tcPr>
          <w:p w14:paraId="21E51D39" w14:textId="77777777" w:rsidR="008810A2" w:rsidRDefault="00D921E0">
            <w:pPr>
              <w:spacing w:line="240" w:lineRule="auto"/>
              <w:ind w:firstLineChars="0" w:firstLine="0"/>
              <w:jc w:val="center"/>
              <w:rPr>
                <w:rFonts w:asciiTheme="minorEastAsia" w:eastAsiaTheme="minorEastAsia" w:hAnsiTheme="minorEastAsia"/>
                <w:bCs/>
                <w:color w:val="000000" w:themeColor="text1"/>
                <w:kern w:val="0"/>
                <w:sz w:val="20"/>
                <w:szCs w:val="20"/>
              </w:rPr>
            </w:pPr>
            <w:r>
              <w:rPr>
                <w:rFonts w:asciiTheme="minorEastAsia" w:eastAsiaTheme="minorEastAsia" w:hAnsiTheme="minorEastAsia" w:hint="eastAsia"/>
                <w:bCs/>
                <w:color w:val="000000" w:themeColor="text1"/>
                <w:kern w:val="0"/>
                <w:sz w:val="20"/>
                <w:szCs w:val="20"/>
              </w:rPr>
              <w:t>单位名称</w:t>
            </w:r>
          </w:p>
        </w:tc>
        <w:tc>
          <w:tcPr>
            <w:tcW w:w="1843" w:type="dxa"/>
            <w:tcBorders>
              <w:top w:val="single" w:sz="4" w:space="0" w:color="auto"/>
              <w:left w:val="single" w:sz="4" w:space="0" w:color="auto"/>
              <w:bottom w:val="single" w:sz="4" w:space="0" w:color="auto"/>
              <w:right w:val="single" w:sz="4" w:space="0" w:color="auto"/>
            </w:tcBorders>
            <w:noWrap/>
            <w:vAlign w:val="center"/>
          </w:tcPr>
          <w:p w14:paraId="6D9ED1E5" w14:textId="77777777" w:rsidR="008810A2" w:rsidRDefault="00D921E0">
            <w:pPr>
              <w:spacing w:line="240" w:lineRule="auto"/>
              <w:ind w:firstLineChars="0" w:firstLine="0"/>
              <w:jc w:val="center"/>
              <w:rPr>
                <w:rFonts w:asciiTheme="minorEastAsia" w:eastAsiaTheme="minorEastAsia" w:hAnsiTheme="minorEastAsia"/>
                <w:bCs/>
                <w:color w:val="000000" w:themeColor="text1"/>
                <w:kern w:val="0"/>
                <w:sz w:val="20"/>
                <w:szCs w:val="20"/>
              </w:rPr>
            </w:pPr>
            <w:r>
              <w:rPr>
                <w:rFonts w:asciiTheme="minorEastAsia" w:eastAsiaTheme="minorEastAsia" w:hAnsiTheme="minorEastAsia" w:hint="eastAsia"/>
                <w:bCs/>
                <w:color w:val="000000" w:themeColor="text1"/>
                <w:kern w:val="0"/>
                <w:sz w:val="20"/>
                <w:szCs w:val="20"/>
              </w:rPr>
              <w:t>地址量</w:t>
            </w:r>
          </w:p>
        </w:tc>
        <w:tc>
          <w:tcPr>
            <w:tcW w:w="2126" w:type="dxa"/>
            <w:tcBorders>
              <w:top w:val="single" w:sz="4" w:space="0" w:color="auto"/>
              <w:left w:val="single" w:sz="4" w:space="0" w:color="auto"/>
            </w:tcBorders>
            <w:noWrap/>
            <w:vAlign w:val="center"/>
          </w:tcPr>
          <w:p w14:paraId="00E73542" w14:textId="77777777" w:rsidR="008810A2" w:rsidRDefault="00D921E0">
            <w:pPr>
              <w:spacing w:line="240" w:lineRule="auto"/>
              <w:ind w:firstLineChars="0" w:firstLine="0"/>
              <w:jc w:val="center"/>
              <w:rPr>
                <w:rFonts w:asciiTheme="minorEastAsia" w:eastAsiaTheme="minorEastAsia" w:hAnsiTheme="minorEastAsia"/>
                <w:bCs/>
                <w:color w:val="000000" w:themeColor="text1"/>
                <w:kern w:val="0"/>
                <w:sz w:val="20"/>
                <w:szCs w:val="20"/>
              </w:rPr>
            </w:pPr>
            <w:r>
              <w:rPr>
                <w:rFonts w:asciiTheme="minorEastAsia" w:eastAsiaTheme="minorEastAsia" w:hAnsiTheme="minorEastAsia" w:hint="eastAsia"/>
                <w:bCs/>
                <w:color w:val="000000" w:themeColor="text1"/>
                <w:kern w:val="0"/>
                <w:sz w:val="20"/>
                <w:szCs w:val="20"/>
              </w:rPr>
              <w:t>折合数</w:t>
            </w:r>
          </w:p>
        </w:tc>
      </w:tr>
      <w:tr w:rsidR="008810A2" w14:paraId="00E32291" w14:textId="77777777" w:rsidTr="00407C9F">
        <w:trPr>
          <w:trHeight w:val="360"/>
        </w:trPr>
        <w:tc>
          <w:tcPr>
            <w:tcW w:w="4195" w:type="dxa"/>
            <w:tcBorders>
              <w:bottom w:val="nil"/>
              <w:right w:val="single" w:sz="4" w:space="0" w:color="auto"/>
            </w:tcBorders>
            <w:vAlign w:val="center"/>
          </w:tcPr>
          <w:p w14:paraId="3D448463"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中国电信集团有限公司</w:t>
            </w:r>
          </w:p>
        </w:tc>
        <w:tc>
          <w:tcPr>
            <w:tcW w:w="1843" w:type="dxa"/>
            <w:tcBorders>
              <w:top w:val="single" w:sz="4" w:space="0" w:color="auto"/>
              <w:left w:val="single" w:sz="4" w:space="0" w:color="auto"/>
              <w:bottom w:val="nil"/>
              <w:right w:val="single" w:sz="4" w:space="0" w:color="auto"/>
            </w:tcBorders>
            <w:vAlign w:val="center"/>
          </w:tcPr>
          <w:p w14:paraId="08979832" w14:textId="77777777" w:rsidR="008810A2" w:rsidRDefault="00D921E0">
            <w:pPr>
              <w:widowControl/>
              <w:spacing w:line="240" w:lineRule="auto"/>
              <w:ind w:firstLineChars="0" w:firstLine="0"/>
              <w:jc w:val="center"/>
              <w:rPr>
                <w:rFonts w:eastAsiaTheme="minorEastAsia"/>
                <w:color w:val="000000"/>
                <w:kern w:val="0"/>
                <w:sz w:val="20"/>
                <w:szCs w:val="20"/>
              </w:rPr>
            </w:pPr>
            <w:r>
              <w:rPr>
                <w:rFonts w:eastAsia="等线"/>
                <w:color w:val="000000"/>
                <w:sz w:val="20"/>
                <w:szCs w:val="20"/>
              </w:rPr>
              <w:t>125,763,328</w:t>
            </w:r>
          </w:p>
        </w:tc>
        <w:tc>
          <w:tcPr>
            <w:tcW w:w="2126" w:type="dxa"/>
            <w:tcBorders>
              <w:left w:val="single" w:sz="4" w:space="0" w:color="auto"/>
              <w:bottom w:val="nil"/>
            </w:tcBorders>
            <w:vAlign w:val="center"/>
          </w:tcPr>
          <w:p w14:paraId="3AB65B8E"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7A+126B+255C</w:t>
            </w:r>
          </w:p>
        </w:tc>
      </w:tr>
      <w:tr w:rsidR="008810A2" w14:paraId="75E84B9B" w14:textId="77777777" w:rsidTr="00407C9F">
        <w:trPr>
          <w:trHeight w:val="360"/>
        </w:trPr>
        <w:tc>
          <w:tcPr>
            <w:tcW w:w="4195" w:type="dxa"/>
            <w:tcBorders>
              <w:top w:val="nil"/>
              <w:bottom w:val="nil"/>
              <w:right w:val="single" w:sz="4" w:space="0" w:color="auto"/>
            </w:tcBorders>
            <w:vAlign w:val="center"/>
          </w:tcPr>
          <w:p w14:paraId="24B1CF32"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中国联合网络通信集团有限公司</w:t>
            </w:r>
          </w:p>
        </w:tc>
        <w:tc>
          <w:tcPr>
            <w:tcW w:w="1843" w:type="dxa"/>
            <w:tcBorders>
              <w:top w:val="nil"/>
              <w:left w:val="single" w:sz="4" w:space="0" w:color="auto"/>
              <w:bottom w:val="nil"/>
              <w:right w:val="single" w:sz="4" w:space="0" w:color="auto"/>
            </w:tcBorders>
            <w:noWrap/>
            <w:vAlign w:val="center"/>
          </w:tcPr>
          <w:p w14:paraId="546685AF" w14:textId="77777777" w:rsidR="008810A2" w:rsidRDefault="00D921E0">
            <w:pPr>
              <w:widowControl/>
              <w:spacing w:line="240" w:lineRule="auto"/>
              <w:ind w:firstLineChars="0" w:firstLine="0"/>
              <w:jc w:val="center"/>
              <w:rPr>
                <w:sz w:val="20"/>
                <w:szCs w:val="20"/>
              </w:rPr>
            </w:pPr>
            <w:r>
              <w:rPr>
                <w:rFonts w:eastAsiaTheme="minorEastAsia" w:hint="eastAsia"/>
                <w:sz w:val="20"/>
                <w:szCs w:val="20"/>
              </w:rPr>
              <w:t>69,866,752</w:t>
            </w:r>
            <w:r>
              <w:rPr>
                <w:rFonts w:hint="eastAsia"/>
                <w:color w:val="000000"/>
                <w:szCs w:val="21"/>
                <w:vertAlign w:val="superscript"/>
              </w:rPr>
              <w:t>注</w:t>
            </w:r>
            <w:r>
              <w:rPr>
                <w:rFonts w:hint="eastAsia"/>
                <w:color w:val="000000"/>
                <w:szCs w:val="21"/>
                <w:vertAlign w:val="superscript"/>
              </w:rPr>
              <w:t>1</w:t>
            </w:r>
          </w:p>
        </w:tc>
        <w:tc>
          <w:tcPr>
            <w:tcW w:w="2126" w:type="dxa"/>
            <w:tcBorders>
              <w:top w:val="nil"/>
              <w:left w:val="single" w:sz="4" w:space="0" w:color="auto"/>
              <w:bottom w:val="nil"/>
            </w:tcBorders>
            <w:vAlign w:val="center"/>
          </w:tcPr>
          <w:p w14:paraId="7C236BB7"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4A+42B+21C</w:t>
            </w:r>
          </w:p>
        </w:tc>
      </w:tr>
      <w:tr w:rsidR="008810A2" w14:paraId="7D0E945D" w14:textId="77777777" w:rsidTr="00407C9F">
        <w:trPr>
          <w:trHeight w:val="360"/>
        </w:trPr>
        <w:tc>
          <w:tcPr>
            <w:tcW w:w="4195" w:type="dxa"/>
            <w:tcBorders>
              <w:top w:val="nil"/>
              <w:bottom w:val="nil"/>
              <w:right w:val="single" w:sz="4" w:space="0" w:color="auto"/>
            </w:tcBorders>
            <w:vAlign w:val="center"/>
          </w:tcPr>
          <w:p w14:paraId="6BA96A86"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CNNIC IP</w:t>
            </w:r>
            <w:r>
              <w:rPr>
                <w:rFonts w:eastAsiaTheme="minorEastAsia"/>
                <w:color w:val="000000" w:themeColor="text1"/>
                <w:sz w:val="20"/>
                <w:szCs w:val="20"/>
              </w:rPr>
              <w:t>地址分配联盟</w:t>
            </w:r>
          </w:p>
        </w:tc>
        <w:tc>
          <w:tcPr>
            <w:tcW w:w="1843" w:type="dxa"/>
            <w:tcBorders>
              <w:top w:val="nil"/>
              <w:left w:val="single" w:sz="4" w:space="0" w:color="auto"/>
              <w:bottom w:val="nil"/>
              <w:right w:val="single" w:sz="4" w:space="0" w:color="auto"/>
            </w:tcBorders>
            <w:noWrap/>
            <w:vAlign w:val="center"/>
          </w:tcPr>
          <w:p w14:paraId="5D688233" w14:textId="77777777" w:rsidR="008810A2" w:rsidRDefault="00D921E0">
            <w:pPr>
              <w:spacing w:line="240" w:lineRule="auto"/>
              <w:ind w:rightChars="-184" w:right="-386" w:firstLineChars="100"/>
              <w:rPr>
                <w:rFonts w:eastAsiaTheme="minorEastAsia"/>
                <w:color w:val="000000" w:themeColor="text1"/>
                <w:kern w:val="0"/>
                <w:sz w:val="20"/>
                <w:szCs w:val="20"/>
              </w:rPr>
            </w:pPr>
            <w:r>
              <w:rPr>
                <w:rFonts w:eastAsia="等线"/>
                <w:color w:val="000000"/>
                <w:sz w:val="20"/>
                <w:szCs w:val="20"/>
              </w:rPr>
              <w:t>62,947,328</w:t>
            </w:r>
            <w:r>
              <w:rPr>
                <w:rFonts w:hint="eastAsia"/>
                <w:color w:val="000000"/>
                <w:szCs w:val="21"/>
                <w:vertAlign w:val="superscript"/>
              </w:rPr>
              <w:t>注</w:t>
            </w:r>
            <w:r>
              <w:rPr>
                <w:rFonts w:eastAsia="等线"/>
                <w:color w:val="000000"/>
                <w:szCs w:val="21"/>
                <w:vertAlign w:val="superscript"/>
              </w:rPr>
              <w:t>2</w:t>
            </w:r>
          </w:p>
        </w:tc>
        <w:tc>
          <w:tcPr>
            <w:tcW w:w="2126" w:type="dxa"/>
            <w:tcBorders>
              <w:top w:val="nil"/>
              <w:left w:val="single" w:sz="4" w:space="0" w:color="auto"/>
              <w:bottom w:val="nil"/>
            </w:tcBorders>
            <w:vAlign w:val="center"/>
          </w:tcPr>
          <w:p w14:paraId="0D57D18C"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3A+192B+94C</w:t>
            </w:r>
          </w:p>
        </w:tc>
      </w:tr>
      <w:tr w:rsidR="008810A2" w14:paraId="4558E67C" w14:textId="77777777" w:rsidTr="00407C9F">
        <w:trPr>
          <w:trHeight w:val="360"/>
        </w:trPr>
        <w:tc>
          <w:tcPr>
            <w:tcW w:w="4195" w:type="dxa"/>
            <w:tcBorders>
              <w:top w:val="nil"/>
              <w:bottom w:val="nil"/>
              <w:right w:val="single" w:sz="4" w:space="0" w:color="auto"/>
            </w:tcBorders>
            <w:vAlign w:val="center"/>
          </w:tcPr>
          <w:p w14:paraId="335EAFF1"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中国移动通信集团有限公司</w:t>
            </w:r>
          </w:p>
        </w:tc>
        <w:tc>
          <w:tcPr>
            <w:tcW w:w="1843" w:type="dxa"/>
            <w:tcBorders>
              <w:top w:val="nil"/>
              <w:left w:val="single" w:sz="4" w:space="0" w:color="auto"/>
              <w:bottom w:val="nil"/>
              <w:right w:val="single" w:sz="4" w:space="0" w:color="auto"/>
            </w:tcBorders>
            <w:vAlign w:val="center"/>
          </w:tcPr>
          <w:p w14:paraId="529089A4" w14:textId="77777777" w:rsidR="008810A2" w:rsidRDefault="00D921E0">
            <w:pPr>
              <w:widowControl/>
              <w:spacing w:line="240" w:lineRule="auto"/>
              <w:ind w:leftChars="63" w:left="132" w:firstLineChars="0" w:firstLine="0"/>
              <w:jc w:val="center"/>
              <w:rPr>
                <w:rFonts w:eastAsiaTheme="minorEastAsia"/>
                <w:color w:val="000000"/>
                <w:kern w:val="0"/>
                <w:sz w:val="20"/>
                <w:szCs w:val="20"/>
              </w:rPr>
            </w:pPr>
            <w:r>
              <w:rPr>
                <w:rFonts w:eastAsia="等线"/>
                <w:color w:val="000000"/>
                <w:sz w:val="20"/>
                <w:szCs w:val="20"/>
              </w:rPr>
              <w:t>35,294,208</w:t>
            </w:r>
          </w:p>
        </w:tc>
        <w:tc>
          <w:tcPr>
            <w:tcW w:w="2126" w:type="dxa"/>
            <w:tcBorders>
              <w:top w:val="nil"/>
              <w:left w:val="single" w:sz="4" w:space="0" w:color="auto"/>
              <w:bottom w:val="nil"/>
            </w:tcBorders>
            <w:vAlign w:val="center"/>
          </w:tcPr>
          <w:p w14:paraId="0DFD314C"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2A+26B+140C</w:t>
            </w:r>
          </w:p>
        </w:tc>
      </w:tr>
      <w:tr w:rsidR="008810A2" w14:paraId="73892A56" w14:textId="77777777" w:rsidTr="00407C9F">
        <w:trPr>
          <w:trHeight w:val="360"/>
        </w:trPr>
        <w:tc>
          <w:tcPr>
            <w:tcW w:w="4195" w:type="dxa"/>
            <w:tcBorders>
              <w:top w:val="nil"/>
              <w:bottom w:val="nil"/>
              <w:right w:val="single" w:sz="4" w:space="0" w:color="auto"/>
            </w:tcBorders>
            <w:vAlign w:val="center"/>
          </w:tcPr>
          <w:p w14:paraId="7E8EED86"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中国教育和科研计算机网</w:t>
            </w:r>
          </w:p>
        </w:tc>
        <w:tc>
          <w:tcPr>
            <w:tcW w:w="1843" w:type="dxa"/>
            <w:tcBorders>
              <w:top w:val="nil"/>
              <w:left w:val="single" w:sz="4" w:space="0" w:color="auto"/>
              <w:bottom w:val="nil"/>
              <w:right w:val="single" w:sz="4" w:space="0" w:color="auto"/>
            </w:tcBorders>
            <w:vAlign w:val="center"/>
          </w:tcPr>
          <w:p w14:paraId="4C3B1CA6" w14:textId="77777777" w:rsidR="008810A2" w:rsidRDefault="00D921E0">
            <w:pPr>
              <w:widowControl/>
              <w:spacing w:line="240" w:lineRule="auto"/>
              <w:ind w:leftChars="63" w:left="132" w:firstLineChars="0" w:firstLine="0"/>
              <w:jc w:val="center"/>
              <w:rPr>
                <w:rFonts w:eastAsiaTheme="minorEastAsia"/>
                <w:color w:val="000000"/>
                <w:kern w:val="0"/>
                <w:sz w:val="20"/>
                <w:szCs w:val="20"/>
              </w:rPr>
            </w:pPr>
            <w:r>
              <w:rPr>
                <w:rFonts w:eastAsia="等线"/>
                <w:color w:val="000000"/>
                <w:sz w:val="20"/>
                <w:szCs w:val="20"/>
              </w:rPr>
              <w:t>16,649,984</w:t>
            </w:r>
          </w:p>
        </w:tc>
        <w:tc>
          <w:tcPr>
            <w:tcW w:w="2126" w:type="dxa"/>
            <w:tcBorders>
              <w:top w:val="nil"/>
              <w:left w:val="single" w:sz="4" w:space="0" w:color="auto"/>
              <w:bottom w:val="nil"/>
            </w:tcBorders>
            <w:vAlign w:val="center"/>
          </w:tcPr>
          <w:p w14:paraId="12C6E699"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254B+16C</w:t>
            </w:r>
          </w:p>
        </w:tc>
      </w:tr>
      <w:tr w:rsidR="008810A2" w14:paraId="43570C75" w14:textId="77777777" w:rsidTr="00407C9F">
        <w:trPr>
          <w:trHeight w:val="360"/>
        </w:trPr>
        <w:tc>
          <w:tcPr>
            <w:tcW w:w="4195" w:type="dxa"/>
            <w:tcBorders>
              <w:top w:val="nil"/>
              <w:bottom w:val="nil"/>
              <w:right w:val="single" w:sz="4" w:space="0" w:color="auto"/>
            </w:tcBorders>
            <w:vAlign w:val="center"/>
          </w:tcPr>
          <w:p w14:paraId="702A0C44" w14:textId="77777777" w:rsidR="008810A2" w:rsidRDefault="00D921E0">
            <w:pPr>
              <w:spacing w:line="240" w:lineRule="auto"/>
              <w:ind w:firstLineChars="0" w:firstLine="0"/>
              <w:jc w:val="center"/>
              <w:rPr>
                <w:rFonts w:eastAsiaTheme="minorEastAsia"/>
                <w:color w:val="000000" w:themeColor="text1"/>
                <w:sz w:val="20"/>
                <w:szCs w:val="20"/>
              </w:rPr>
            </w:pPr>
            <w:proofErr w:type="gramStart"/>
            <w:r>
              <w:rPr>
                <w:rFonts w:eastAsiaTheme="minorEastAsia"/>
                <w:color w:val="000000" w:themeColor="text1"/>
                <w:sz w:val="20"/>
                <w:szCs w:val="20"/>
              </w:rPr>
              <w:t>中移铁通</w:t>
            </w:r>
            <w:proofErr w:type="gramEnd"/>
            <w:r>
              <w:rPr>
                <w:rFonts w:eastAsiaTheme="minorEastAsia"/>
                <w:color w:val="000000" w:themeColor="text1"/>
                <w:sz w:val="20"/>
                <w:szCs w:val="20"/>
              </w:rPr>
              <w:t>有限公司</w:t>
            </w:r>
          </w:p>
        </w:tc>
        <w:tc>
          <w:tcPr>
            <w:tcW w:w="1843" w:type="dxa"/>
            <w:tcBorders>
              <w:top w:val="nil"/>
              <w:left w:val="single" w:sz="4" w:space="0" w:color="auto"/>
              <w:bottom w:val="nil"/>
              <w:right w:val="single" w:sz="4" w:space="0" w:color="auto"/>
            </w:tcBorders>
            <w:vAlign w:val="center"/>
          </w:tcPr>
          <w:p w14:paraId="1825839E" w14:textId="77777777" w:rsidR="008810A2" w:rsidRDefault="00D921E0">
            <w:pPr>
              <w:spacing w:line="240" w:lineRule="auto"/>
              <w:ind w:firstLineChars="0" w:firstLine="0"/>
              <w:jc w:val="center"/>
              <w:rPr>
                <w:rFonts w:eastAsiaTheme="minorEastAsia"/>
                <w:color w:val="000000" w:themeColor="text1"/>
                <w:kern w:val="0"/>
                <w:sz w:val="20"/>
                <w:szCs w:val="20"/>
              </w:rPr>
            </w:pPr>
            <w:r>
              <w:rPr>
                <w:rFonts w:eastAsia="等线"/>
                <w:color w:val="000000"/>
                <w:sz w:val="20"/>
                <w:szCs w:val="20"/>
              </w:rPr>
              <w:t>15,796,224</w:t>
            </w:r>
            <w:r>
              <w:rPr>
                <w:rFonts w:hint="eastAsia"/>
                <w:color w:val="000000"/>
                <w:szCs w:val="21"/>
                <w:vertAlign w:val="superscript"/>
              </w:rPr>
              <w:t>注</w:t>
            </w:r>
            <w:r>
              <w:rPr>
                <w:rFonts w:eastAsia="等线"/>
                <w:color w:val="000000"/>
                <w:szCs w:val="21"/>
                <w:vertAlign w:val="superscript"/>
              </w:rPr>
              <w:t>3</w:t>
            </w:r>
          </w:p>
        </w:tc>
        <w:tc>
          <w:tcPr>
            <w:tcW w:w="2126" w:type="dxa"/>
            <w:tcBorders>
              <w:top w:val="nil"/>
              <w:left w:val="single" w:sz="4" w:space="0" w:color="auto"/>
              <w:bottom w:val="nil"/>
            </w:tcBorders>
            <w:vAlign w:val="center"/>
          </w:tcPr>
          <w:p w14:paraId="72370210"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241B+8C</w:t>
            </w:r>
          </w:p>
        </w:tc>
      </w:tr>
      <w:tr w:rsidR="008810A2" w14:paraId="4F79DACD" w14:textId="77777777" w:rsidTr="00407C9F">
        <w:trPr>
          <w:trHeight w:val="360"/>
        </w:trPr>
        <w:tc>
          <w:tcPr>
            <w:tcW w:w="4195" w:type="dxa"/>
            <w:tcBorders>
              <w:top w:val="nil"/>
              <w:bottom w:val="nil"/>
              <w:right w:val="single" w:sz="4" w:space="0" w:color="auto"/>
            </w:tcBorders>
            <w:vAlign w:val="center"/>
          </w:tcPr>
          <w:p w14:paraId="7D85CD07"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其他</w:t>
            </w:r>
          </w:p>
        </w:tc>
        <w:tc>
          <w:tcPr>
            <w:tcW w:w="1843" w:type="dxa"/>
            <w:tcBorders>
              <w:top w:val="nil"/>
              <w:left w:val="single" w:sz="4" w:space="0" w:color="auto"/>
              <w:bottom w:val="nil"/>
              <w:right w:val="single" w:sz="4" w:space="0" w:color="auto"/>
            </w:tcBorders>
            <w:vAlign w:val="center"/>
          </w:tcPr>
          <w:p w14:paraId="11176E4C" w14:textId="77777777" w:rsidR="008810A2" w:rsidRDefault="00D921E0">
            <w:pPr>
              <w:spacing w:line="240" w:lineRule="auto"/>
              <w:ind w:firstLineChars="0" w:firstLine="0"/>
              <w:jc w:val="center"/>
              <w:rPr>
                <w:rFonts w:eastAsiaTheme="minorEastAsia"/>
                <w:color w:val="000000" w:themeColor="text1"/>
                <w:kern w:val="0"/>
                <w:sz w:val="20"/>
                <w:szCs w:val="20"/>
              </w:rPr>
            </w:pPr>
            <w:r>
              <w:rPr>
                <w:rFonts w:eastAsia="等线"/>
                <w:color w:val="000000"/>
                <w:sz w:val="20"/>
                <w:szCs w:val="20"/>
              </w:rPr>
              <w:t>16,850,432</w:t>
            </w:r>
            <w:r>
              <w:rPr>
                <w:rFonts w:hint="eastAsia"/>
                <w:color w:val="000000"/>
                <w:szCs w:val="21"/>
                <w:vertAlign w:val="superscript"/>
              </w:rPr>
              <w:t>注</w:t>
            </w:r>
            <w:r>
              <w:rPr>
                <w:rFonts w:eastAsia="等线"/>
                <w:color w:val="000000"/>
                <w:szCs w:val="21"/>
                <w:vertAlign w:val="superscript"/>
              </w:rPr>
              <w:t>4</w:t>
            </w:r>
          </w:p>
        </w:tc>
        <w:tc>
          <w:tcPr>
            <w:tcW w:w="2126" w:type="dxa"/>
            <w:tcBorders>
              <w:top w:val="nil"/>
              <w:left w:val="single" w:sz="4" w:space="0" w:color="auto"/>
              <w:bottom w:val="nil"/>
            </w:tcBorders>
            <w:vAlign w:val="center"/>
          </w:tcPr>
          <w:p w14:paraId="4AEF0AB0"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257B+30C</w:t>
            </w:r>
          </w:p>
        </w:tc>
      </w:tr>
      <w:tr w:rsidR="008810A2" w14:paraId="3872DD71" w14:textId="77777777" w:rsidTr="00407C9F">
        <w:trPr>
          <w:trHeight w:val="360"/>
        </w:trPr>
        <w:tc>
          <w:tcPr>
            <w:tcW w:w="4195" w:type="dxa"/>
            <w:tcBorders>
              <w:top w:val="nil"/>
              <w:right w:val="single" w:sz="4" w:space="0" w:color="auto"/>
            </w:tcBorders>
            <w:vAlign w:val="center"/>
          </w:tcPr>
          <w:p w14:paraId="10CBD4A6"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合计</w:t>
            </w:r>
          </w:p>
        </w:tc>
        <w:tc>
          <w:tcPr>
            <w:tcW w:w="1843" w:type="dxa"/>
            <w:tcBorders>
              <w:top w:val="nil"/>
              <w:left w:val="single" w:sz="4" w:space="0" w:color="auto"/>
              <w:right w:val="single" w:sz="4" w:space="0" w:color="auto"/>
            </w:tcBorders>
            <w:vAlign w:val="center"/>
          </w:tcPr>
          <w:p w14:paraId="76A9A68A" w14:textId="77777777" w:rsidR="008810A2" w:rsidRDefault="00D921E0">
            <w:pPr>
              <w:widowControl/>
              <w:spacing w:line="240" w:lineRule="auto"/>
              <w:ind w:firstLine="400"/>
              <w:rPr>
                <w:rFonts w:eastAsiaTheme="minorEastAsia"/>
                <w:color w:val="000000"/>
                <w:kern w:val="0"/>
                <w:sz w:val="20"/>
                <w:szCs w:val="20"/>
              </w:rPr>
            </w:pPr>
            <w:r>
              <w:rPr>
                <w:rFonts w:eastAsia="等线"/>
                <w:color w:val="000000"/>
                <w:sz w:val="20"/>
                <w:szCs w:val="20"/>
              </w:rPr>
              <w:t>343,168,256</w:t>
            </w:r>
          </w:p>
        </w:tc>
        <w:tc>
          <w:tcPr>
            <w:tcW w:w="2126" w:type="dxa"/>
            <w:tcBorders>
              <w:top w:val="nil"/>
              <w:left w:val="single" w:sz="4" w:space="0" w:color="auto"/>
            </w:tcBorders>
            <w:vAlign w:val="center"/>
          </w:tcPr>
          <w:p w14:paraId="6566EBD9"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20A+116B+85C</w:t>
            </w:r>
          </w:p>
        </w:tc>
      </w:tr>
    </w:tbl>
    <w:p w14:paraId="29A60A53" w14:textId="77777777" w:rsidR="008810A2" w:rsidRDefault="00D921E0">
      <w:pPr>
        <w:widowControl/>
        <w:spacing w:line="240" w:lineRule="auto"/>
        <w:ind w:firstLineChars="0" w:firstLine="0"/>
        <w:rPr>
          <w:rFonts w:cs="宋体"/>
          <w:i/>
          <w:iCs/>
          <w:color w:val="000000" w:themeColor="text1"/>
          <w:kern w:val="0"/>
        </w:rPr>
      </w:pPr>
      <w:r>
        <w:rPr>
          <w:rFonts w:cs="宋体" w:hint="eastAsia"/>
          <w:i/>
          <w:iCs/>
          <w:color w:val="000000" w:themeColor="text1"/>
          <w:kern w:val="0"/>
        </w:rPr>
        <w:t>数据来源：亚太互联网络信息中心（</w:t>
      </w:r>
      <w:r>
        <w:rPr>
          <w:rFonts w:cs="宋体" w:hint="eastAsia"/>
          <w:i/>
          <w:iCs/>
          <w:color w:val="000000" w:themeColor="text1"/>
          <w:kern w:val="0"/>
        </w:rPr>
        <w:t>APNIC</w:t>
      </w:r>
      <w:r>
        <w:rPr>
          <w:rFonts w:cs="宋体" w:hint="eastAsia"/>
          <w:i/>
          <w:iCs/>
          <w:color w:val="000000" w:themeColor="text1"/>
          <w:kern w:val="0"/>
        </w:rPr>
        <w:t>）、中国互联网络信息中心（</w:t>
      </w:r>
      <w:r>
        <w:rPr>
          <w:rFonts w:cs="宋体" w:hint="eastAsia"/>
          <w:i/>
          <w:iCs/>
          <w:color w:val="000000" w:themeColor="text1"/>
          <w:kern w:val="0"/>
        </w:rPr>
        <w:t>CNNIC</w:t>
      </w:r>
      <w:r>
        <w:rPr>
          <w:rFonts w:cs="宋体" w:hint="eastAsia"/>
          <w:i/>
          <w:iCs/>
          <w:color w:val="000000" w:themeColor="text1"/>
          <w:kern w:val="0"/>
        </w:rPr>
        <w:t>）</w:t>
      </w:r>
    </w:p>
    <w:p w14:paraId="61E6D68F" w14:textId="77777777" w:rsidR="008810A2" w:rsidRDefault="00D921E0">
      <w:pPr>
        <w:widowControl/>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1</w:t>
      </w:r>
      <w:r>
        <w:rPr>
          <w:rFonts w:cs="宋体" w:hint="eastAsia"/>
          <w:i/>
          <w:iCs/>
          <w:color w:val="000000" w:themeColor="text1"/>
          <w:kern w:val="0"/>
        </w:rPr>
        <w:t>：中国联合网络通信集团有限公司的地址包括原联通和原网通的地址，其中原联通的</w:t>
      </w:r>
      <w:r>
        <w:rPr>
          <w:rFonts w:cs="宋体" w:hint="eastAsia"/>
          <w:i/>
          <w:iCs/>
          <w:color w:val="000000" w:themeColor="text1"/>
          <w:kern w:val="0"/>
        </w:rPr>
        <w:t>IPv4</w:t>
      </w:r>
      <w:r>
        <w:rPr>
          <w:rFonts w:cs="宋体" w:hint="eastAsia"/>
          <w:i/>
          <w:iCs/>
          <w:color w:val="000000" w:themeColor="text1"/>
          <w:kern w:val="0"/>
        </w:rPr>
        <w:t>地址</w:t>
      </w:r>
      <w:r>
        <w:rPr>
          <w:rFonts w:cs="宋体"/>
          <w:i/>
          <w:color w:val="000000" w:themeColor="text1"/>
        </w:rPr>
        <w:t>6316032(96B+96C)</w:t>
      </w:r>
      <w:r>
        <w:rPr>
          <w:rFonts w:cs="宋体" w:hint="eastAsia"/>
          <w:i/>
          <w:iCs/>
          <w:color w:val="000000" w:themeColor="text1"/>
          <w:kern w:val="0"/>
        </w:rPr>
        <w:t>是经</w:t>
      </w:r>
      <w:r>
        <w:rPr>
          <w:rFonts w:cs="宋体" w:hint="eastAsia"/>
          <w:i/>
          <w:iCs/>
          <w:color w:val="000000" w:themeColor="text1"/>
          <w:kern w:val="0"/>
        </w:rPr>
        <w:t>CNNIC</w:t>
      </w:r>
      <w:r>
        <w:rPr>
          <w:rFonts w:cs="宋体" w:hint="eastAsia"/>
          <w:i/>
          <w:iCs/>
          <w:color w:val="000000" w:themeColor="text1"/>
          <w:kern w:val="0"/>
        </w:rPr>
        <w:t>分配；</w:t>
      </w:r>
    </w:p>
    <w:p w14:paraId="6FC225EE" w14:textId="77777777" w:rsidR="008810A2" w:rsidRDefault="00D921E0">
      <w:pPr>
        <w:widowControl/>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2</w:t>
      </w:r>
      <w:r>
        <w:rPr>
          <w:rFonts w:cs="宋体" w:hint="eastAsia"/>
          <w:i/>
          <w:iCs/>
          <w:color w:val="000000" w:themeColor="text1"/>
          <w:kern w:val="0"/>
        </w:rPr>
        <w:t>：</w:t>
      </w:r>
      <w:r>
        <w:rPr>
          <w:i/>
          <w:iCs/>
          <w:color w:val="000000" w:themeColor="text1"/>
        </w:rPr>
        <w:t>CNNIC</w:t>
      </w:r>
      <w:r>
        <w:rPr>
          <w:i/>
          <w:iCs/>
          <w:color w:val="000000" w:themeColor="text1"/>
        </w:rPr>
        <w:t>作为经</w:t>
      </w:r>
      <w:r>
        <w:rPr>
          <w:i/>
          <w:iCs/>
          <w:color w:val="000000" w:themeColor="text1"/>
        </w:rPr>
        <w:t>APNIC</w:t>
      </w:r>
      <w:r>
        <w:rPr>
          <w:rFonts w:hint="eastAsia"/>
          <w:i/>
          <w:iCs/>
          <w:color w:val="000000" w:themeColor="text1"/>
        </w:rPr>
        <w:t>和国家主管部门</w:t>
      </w:r>
      <w:r>
        <w:rPr>
          <w:i/>
          <w:iCs/>
          <w:color w:val="000000" w:themeColor="text1"/>
        </w:rPr>
        <w:t>认可的中国国家</w:t>
      </w:r>
      <w:r>
        <w:rPr>
          <w:rFonts w:hint="eastAsia"/>
          <w:i/>
          <w:iCs/>
          <w:color w:val="000000" w:themeColor="text1"/>
        </w:rPr>
        <w:t>级</w:t>
      </w:r>
      <w:r>
        <w:rPr>
          <w:i/>
          <w:iCs/>
          <w:color w:val="000000" w:themeColor="text1"/>
        </w:rPr>
        <w:t>互联网注册机构（</w:t>
      </w:r>
      <w:r>
        <w:rPr>
          <w:i/>
          <w:iCs/>
          <w:color w:val="000000" w:themeColor="text1"/>
        </w:rPr>
        <w:t>NIR</w:t>
      </w:r>
      <w:r>
        <w:rPr>
          <w:i/>
          <w:iCs/>
          <w:color w:val="000000" w:themeColor="text1"/>
        </w:rPr>
        <w:t>），召集国内有一定规模的</w:t>
      </w:r>
      <w:r>
        <w:rPr>
          <w:rFonts w:hint="eastAsia"/>
          <w:i/>
          <w:iCs/>
          <w:color w:val="000000" w:themeColor="text1"/>
        </w:rPr>
        <w:t>互联网服务提供商和企事业单位</w:t>
      </w:r>
      <w:r>
        <w:rPr>
          <w:i/>
          <w:iCs/>
          <w:color w:val="000000" w:themeColor="text1"/>
        </w:rPr>
        <w:t>，组成</w:t>
      </w:r>
      <w:r>
        <w:rPr>
          <w:i/>
          <w:iCs/>
          <w:color w:val="000000" w:themeColor="text1"/>
        </w:rPr>
        <w:t>IP</w:t>
      </w:r>
      <w:r>
        <w:rPr>
          <w:i/>
          <w:iCs/>
          <w:color w:val="000000" w:themeColor="text1"/>
        </w:rPr>
        <w:t>地址分配联盟，目前</w:t>
      </w:r>
      <w:r>
        <w:rPr>
          <w:i/>
          <w:iCs/>
          <w:color w:val="000000" w:themeColor="text1"/>
        </w:rPr>
        <w:t>CNNIC</w:t>
      </w:r>
      <w:r>
        <w:rPr>
          <w:rFonts w:hint="eastAsia"/>
          <w:i/>
          <w:iCs/>
          <w:color w:val="000000" w:themeColor="text1"/>
        </w:rPr>
        <w:t xml:space="preserve"> </w:t>
      </w:r>
      <w:r>
        <w:rPr>
          <w:i/>
          <w:iCs/>
          <w:color w:val="000000" w:themeColor="text1"/>
        </w:rPr>
        <w:t>地址分配联盟</w:t>
      </w:r>
      <w:r>
        <w:rPr>
          <w:rFonts w:hint="eastAsia"/>
          <w:i/>
          <w:iCs/>
          <w:color w:val="000000" w:themeColor="text1"/>
        </w:rPr>
        <w:t>的</w:t>
      </w:r>
      <w:r>
        <w:rPr>
          <w:i/>
          <w:iCs/>
          <w:color w:val="000000" w:themeColor="text1"/>
        </w:rPr>
        <w:t>IP</w:t>
      </w:r>
      <w:r>
        <w:rPr>
          <w:rFonts w:hint="eastAsia"/>
          <w:i/>
          <w:iCs/>
          <w:color w:val="000000" w:themeColor="text1"/>
        </w:rPr>
        <w:t>v4</w:t>
      </w:r>
      <w:r>
        <w:rPr>
          <w:i/>
          <w:iCs/>
          <w:color w:val="000000" w:themeColor="text1"/>
        </w:rPr>
        <w:t>地址</w:t>
      </w:r>
      <w:r>
        <w:rPr>
          <w:rFonts w:hint="eastAsia"/>
          <w:i/>
          <w:iCs/>
          <w:color w:val="000000" w:themeColor="text1"/>
        </w:rPr>
        <w:t>总</w:t>
      </w:r>
      <w:r>
        <w:rPr>
          <w:i/>
          <w:iCs/>
          <w:color w:val="000000" w:themeColor="text1"/>
        </w:rPr>
        <w:t>持有量</w:t>
      </w:r>
      <w:r>
        <w:rPr>
          <w:rFonts w:hint="eastAsia"/>
          <w:i/>
          <w:iCs/>
          <w:color w:val="000000" w:themeColor="text1"/>
        </w:rPr>
        <w:t>为</w:t>
      </w:r>
      <w:r>
        <w:rPr>
          <w:i/>
        </w:rPr>
        <w:t>8506</w:t>
      </w:r>
      <w:r>
        <w:rPr>
          <w:rFonts w:hint="eastAsia"/>
          <w:i/>
        </w:rPr>
        <w:t>万</w:t>
      </w:r>
      <w:r>
        <w:rPr>
          <w:rFonts w:hint="eastAsia"/>
          <w:i/>
          <w:iCs/>
          <w:color w:val="000000" w:themeColor="text1"/>
        </w:rPr>
        <w:t>个</w:t>
      </w:r>
      <w:r>
        <w:rPr>
          <w:i/>
          <w:iCs/>
          <w:color w:val="000000" w:themeColor="text1"/>
        </w:rPr>
        <w:t>，</w:t>
      </w:r>
      <w:r>
        <w:rPr>
          <w:rFonts w:hint="eastAsia"/>
          <w:i/>
          <w:iCs/>
          <w:color w:val="000000" w:themeColor="text1"/>
        </w:rPr>
        <w:t>折</w:t>
      </w:r>
      <w:r>
        <w:rPr>
          <w:i/>
          <w:iCs/>
          <w:color w:val="000000" w:themeColor="text1"/>
        </w:rPr>
        <w:t>合</w:t>
      </w:r>
      <w:r>
        <w:rPr>
          <w:i/>
          <w:iCs/>
          <w:color w:val="000000" w:themeColor="text1"/>
        </w:rPr>
        <w:t>5.1A</w:t>
      </w:r>
      <w:r>
        <w:rPr>
          <w:rFonts w:hint="eastAsia"/>
          <w:i/>
          <w:iCs/>
          <w:color w:val="000000" w:themeColor="text1"/>
        </w:rPr>
        <w:t>；上表中所列</w:t>
      </w:r>
      <w:r>
        <w:rPr>
          <w:rFonts w:hint="eastAsia"/>
          <w:i/>
          <w:iCs/>
          <w:color w:val="000000" w:themeColor="text1"/>
        </w:rPr>
        <w:t>IP</w:t>
      </w:r>
      <w:r>
        <w:rPr>
          <w:rFonts w:hint="eastAsia"/>
          <w:i/>
          <w:iCs/>
          <w:color w:val="000000" w:themeColor="text1"/>
        </w:rPr>
        <w:t>地址分配联盟的</w:t>
      </w:r>
      <w:r>
        <w:rPr>
          <w:rFonts w:hint="eastAsia"/>
          <w:i/>
          <w:iCs/>
          <w:color w:val="000000" w:themeColor="text1"/>
        </w:rPr>
        <w:t>IPv4</w:t>
      </w:r>
      <w:r>
        <w:rPr>
          <w:rFonts w:hint="eastAsia"/>
          <w:i/>
          <w:iCs/>
          <w:color w:val="000000" w:themeColor="text1"/>
        </w:rPr>
        <w:t>地址数量不含已分配给原联通和铁通的</w:t>
      </w:r>
      <w:r>
        <w:rPr>
          <w:rFonts w:hint="eastAsia"/>
          <w:i/>
          <w:iCs/>
          <w:color w:val="000000" w:themeColor="text1"/>
        </w:rPr>
        <w:t>IPv4</w:t>
      </w:r>
      <w:r>
        <w:rPr>
          <w:rFonts w:hint="eastAsia"/>
          <w:i/>
          <w:iCs/>
          <w:color w:val="000000" w:themeColor="text1"/>
        </w:rPr>
        <w:t>地址数量</w:t>
      </w:r>
      <w:r>
        <w:rPr>
          <w:rFonts w:cs="宋体" w:hint="eastAsia"/>
          <w:i/>
          <w:iCs/>
          <w:color w:val="000000" w:themeColor="text1"/>
          <w:kern w:val="0"/>
        </w:rPr>
        <w:t>；</w:t>
      </w:r>
    </w:p>
    <w:p w14:paraId="06361094" w14:textId="77777777" w:rsidR="008810A2" w:rsidRDefault="00D921E0">
      <w:pPr>
        <w:widowControl/>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3</w:t>
      </w:r>
      <w:r>
        <w:rPr>
          <w:rFonts w:cs="宋体" w:hint="eastAsia"/>
          <w:i/>
          <w:iCs/>
          <w:color w:val="000000" w:themeColor="text1"/>
          <w:kern w:val="0"/>
        </w:rPr>
        <w:t>：</w:t>
      </w:r>
      <w:proofErr w:type="gramStart"/>
      <w:r>
        <w:rPr>
          <w:rFonts w:cs="宋体" w:hint="eastAsia"/>
          <w:i/>
          <w:iCs/>
          <w:color w:val="000000" w:themeColor="text1"/>
          <w:kern w:val="0"/>
        </w:rPr>
        <w:t>中移铁通</w:t>
      </w:r>
      <w:proofErr w:type="gramEnd"/>
      <w:r>
        <w:rPr>
          <w:rFonts w:cs="宋体" w:hint="eastAsia"/>
          <w:i/>
          <w:iCs/>
          <w:color w:val="000000" w:themeColor="text1"/>
          <w:kern w:val="0"/>
        </w:rPr>
        <w:t>有限公司的</w:t>
      </w:r>
      <w:r>
        <w:rPr>
          <w:rFonts w:cs="宋体" w:hint="eastAsia"/>
          <w:i/>
          <w:iCs/>
          <w:color w:val="000000" w:themeColor="text1"/>
          <w:kern w:val="0"/>
        </w:rPr>
        <w:t>IPv4</w:t>
      </w:r>
      <w:r>
        <w:rPr>
          <w:rFonts w:cs="宋体" w:hint="eastAsia"/>
          <w:i/>
          <w:iCs/>
          <w:color w:val="000000" w:themeColor="text1"/>
          <w:kern w:val="0"/>
        </w:rPr>
        <w:t>地址是经</w:t>
      </w:r>
      <w:r>
        <w:rPr>
          <w:rFonts w:cs="宋体" w:hint="eastAsia"/>
          <w:i/>
          <w:iCs/>
          <w:color w:val="000000" w:themeColor="text1"/>
          <w:kern w:val="0"/>
        </w:rPr>
        <w:t>CNNIC</w:t>
      </w:r>
      <w:r>
        <w:rPr>
          <w:rFonts w:cs="宋体" w:hint="eastAsia"/>
          <w:i/>
          <w:iCs/>
          <w:color w:val="000000" w:themeColor="text1"/>
          <w:kern w:val="0"/>
        </w:rPr>
        <w:t>分配；</w:t>
      </w:r>
    </w:p>
    <w:p w14:paraId="6326ADA5" w14:textId="77777777" w:rsidR="008810A2" w:rsidRDefault="00D921E0">
      <w:pPr>
        <w:widowControl/>
        <w:spacing w:line="240" w:lineRule="auto"/>
        <w:ind w:firstLineChars="0" w:firstLine="0"/>
        <w:rPr>
          <w:rFonts w:cs="宋体"/>
          <w:i/>
          <w:iCs/>
          <w:color w:val="000000" w:themeColor="text1"/>
          <w:kern w:val="0"/>
        </w:rPr>
      </w:pPr>
      <w:r>
        <w:rPr>
          <w:rFonts w:cs="宋体" w:hint="eastAsia"/>
          <w:i/>
          <w:color w:val="000000" w:themeColor="text1"/>
        </w:rPr>
        <w:t>注</w:t>
      </w:r>
      <w:r>
        <w:rPr>
          <w:rFonts w:cs="宋体" w:hint="eastAsia"/>
          <w:i/>
          <w:color w:val="000000" w:themeColor="text1"/>
        </w:rPr>
        <w:t>4</w:t>
      </w:r>
      <w:r>
        <w:rPr>
          <w:rFonts w:cs="宋体" w:hint="eastAsia"/>
          <w:i/>
          <w:color w:val="000000" w:themeColor="text1"/>
        </w:rPr>
        <w:t>：其他是指</w:t>
      </w:r>
      <w:r>
        <w:rPr>
          <w:rFonts w:cs="宋体"/>
          <w:i/>
          <w:color w:val="000000" w:themeColor="text1"/>
        </w:rPr>
        <w:t>直接从</w:t>
      </w:r>
      <w:r>
        <w:rPr>
          <w:rFonts w:hAnsi="宋体" w:cs="宋体" w:hint="eastAsia"/>
          <w:i/>
          <w:iCs/>
          <w:color w:val="000000" w:themeColor="text1"/>
          <w:kern w:val="0"/>
        </w:rPr>
        <w:t>亚太互联网络信息中心（</w:t>
      </w:r>
      <w:r>
        <w:rPr>
          <w:i/>
          <w:iCs/>
          <w:color w:val="000000" w:themeColor="text1"/>
          <w:kern w:val="0"/>
        </w:rPr>
        <w:t>APNIC</w:t>
      </w:r>
      <w:r>
        <w:rPr>
          <w:i/>
          <w:iCs/>
          <w:color w:val="000000" w:themeColor="text1"/>
          <w:kern w:val="0"/>
        </w:rPr>
        <w:t>）</w:t>
      </w:r>
      <w:r>
        <w:rPr>
          <w:rFonts w:hint="eastAsia"/>
          <w:i/>
          <w:iCs/>
          <w:color w:val="000000" w:themeColor="text1"/>
          <w:kern w:val="0"/>
        </w:rPr>
        <w:t>申请</w:t>
      </w:r>
      <w:r>
        <w:rPr>
          <w:rFonts w:hint="eastAsia"/>
          <w:i/>
          <w:iCs/>
          <w:color w:val="000000" w:themeColor="text1"/>
          <w:kern w:val="0"/>
        </w:rPr>
        <w:t>IP</w:t>
      </w:r>
      <w:r>
        <w:rPr>
          <w:i/>
          <w:iCs/>
          <w:color w:val="000000" w:themeColor="text1"/>
          <w:kern w:val="0"/>
        </w:rPr>
        <w:t>v4</w:t>
      </w:r>
      <w:r>
        <w:rPr>
          <w:rFonts w:hint="eastAsia"/>
          <w:i/>
          <w:iCs/>
          <w:color w:val="000000" w:themeColor="text1"/>
          <w:kern w:val="0"/>
        </w:rPr>
        <w:t>地址的</w:t>
      </w:r>
      <w:r>
        <w:rPr>
          <w:i/>
          <w:iCs/>
          <w:color w:val="000000" w:themeColor="text1"/>
          <w:kern w:val="0"/>
        </w:rPr>
        <w:t>企事业单位</w:t>
      </w:r>
      <w:r>
        <w:rPr>
          <w:rFonts w:hint="eastAsia"/>
          <w:i/>
          <w:iCs/>
          <w:color w:val="000000" w:themeColor="text1"/>
          <w:kern w:val="0"/>
        </w:rPr>
        <w:t>；</w:t>
      </w:r>
    </w:p>
    <w:p w14:paraId="5DE06F67" w14:textId="77777777" w:rsidR="008810A2" w:rsidRDefault="00D921E0">
      <w:pPr>
        <w:widowControl/>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i/>
          <w:iCs/>
          <w:color w:val="000000" w:themeColor="text1"/>
          <w:kern w:val="0"/>
        </w:rPr>
        <w:t>5</w:t>
      </w:r>
      <w:r>
        <w:rPr>
          <w:rFonts w:cs="宋体" w:hint="eastAsia"/>
          <w:i/>
          <w:iCs/>
          <w:color w:val="000000" w:themeColor="text1"/>
          <w:kern w:val="0"/>
        </w:rPr>
        <w:t>：以上数据统计截止日期为</w:t>
      </w:r>
      <w:r>
        <w:rPr>
          <w:rFonts w:cs="宋体" w:hint="eastAsia"/>
          <w:i/>
          <w:iCs/>
          <w:color w:val="000000" w:themeColor="text1"/>
          <w:kern w:val="0"/>
        </w:rPr>
        <w:t>2024</w:t>
      </w:r>
      <w:r>
        <w:rPr>
          <w:rFonts w:cs="宋体" w:hint="eastAsia"/>
          <w:i/>
          <w:iCs/>
          <w:color w:val="000000" w:themeColor="text1"/>
          <w:kern w:val="0"/>
        </w:rPr>
        <w:t>年</w:t>
      </w:r>
      <w:r>
        <w:rPr>
          <w:rFonts w:cs="宋体" w:hint="eastAsia"/>
          <w:i/>
          <w:iCs/>
          <w:color w:val="000000" w:themeColor="text1"/>
          <w:kern w:val="0"/>
        </w:rPr>
        <w:t>6</w:t>
      </w:r>
      <w:r>
        <w:rPr>
          <w:rFonts w:cs="宋体" w:hint="eastAsia"/>
          <w:i/>
          <w:iCs/>
          <w:color w:val="000000" w:themeColor="text1"/>
          <w:kern w:val="0"/>
        </w:rPr>
        <w:t>月</w:t>
      </w:r>
      <w:r>
        <w:rPr>
          <w:rFonts w:cs="宋体" w:hint="eastAsia"/>
          <w:i/>
          <w:iCs/>
          <w:color w:val="000000" w:themeColor="text1"/>
          <w:kern w:val="0"/>
        </w:rPr>
        <w:t>30</w:t>
      </w:r>
      <w:r>
        <w:rPr>
          <w:rFonts w:cs="宋体" w:hint="eastAsia"/>
          <w:i/>
          <w:iCs/>
          <w:color w:val="000000" w:themeColor="text1"/>
          <w:kern w:val="0"/>
        </w:rPr>
        <w:t>日。</w:t>
      </w:r>
    </w:p>
    <w:p w14:paraId="061EA1CE" w14:textId="77777777" w:rsidR="008810A2" w:rsidRDefault="008810A2">
      <w:pPr>
        <w:widowControl/>
        <w:spacing w:line="240" w:lineRule="auto"/>
        <w:ind w:firstLineChars="0" w:firstLine="0"/>
        <w:rPr>
          <w:rFonts w:cs="宋体"/>
          <w:i/>
          <w:iCs/>
          <w:color w:val="000000" w:themeColor="text1"/>
          <w:kern w:val="0"/>
        </w:rPr>
      </w:pPr>
    </w:p>
    <w:p w14:paraId="60321814" w14:textId="77777777" w:rsidR="008810A2" w:rsidRDefault="008810A2">
      <w:pPr>
        <w:ind w:left="359" w:hangingChars="171" w:hanging="359"/>
        <w:rPr>
          <w:rFonts w:cs="宋体"/>
          <w:i/>
          <w:color w:val="000000" w:themeColor="text1"/>
        </w:rPr>
      </w:pPr>
    </w:p>
    <w:p w14:paraId="7CD2929A" w14:textId="77777777" w:rsidR="008810A2" w:rsidRDefault="00D921E0">
      <w:pPr>
        <w:widowControl/>
        <w:spacing w:line="240" w:lineRule="auto"/>
        <w:ind w:firstLineChars="0" w:firstLine="0"/>
        <w:rPr>
          <w:b/>
          <w:color w:val="000000" w:themeColor="text1"/>
          <w:szCs w:val="20"/>
        </w:rPr>
      </w:pPr>
      <w:r>
        <w:rPr>
          <w:b/>
          <w:color w:val="000000" w:themeColor="text1"/>
        </w:rPr>
        <w:br w:type="page"/>
      </w:r>
    </w:p>
    <w:p w14:paraId="354F07E5" w14:textId="737D9099" w:rsidR="008810A2" w:rsidRDefault="00D921E0" w:rsidP="002B0D05">
      <w:pPr>
        <w:pStyle w:val="a4"/>
        <w:rPr>
          <w:shd w:val="clear" w:color="auto" w:fill="FFFFFF" w:themeFill="background1"/>
        </w:rPr>
      </w:pPr>
      <w:r>
        <w:rPr>
          <w:shd w:val="clear" w:color="auto" w:fill="FFFFFF" w:themeFill="background1"/>
        </w:rPr>
        <w:lastRenderedPageBreak/>
        <w:t>附表</w:t>
      </w:r>
      <w:r>
        <w:rPr>
          <w:shd w:val="clear" w:color="auto" w:fill="FFFFFF" w:themeFill="background1"/>
        </w:rPr>
        <w:t xml:space="preserve"> </w:t>
      </w:r>
      <w:r>
        <w:rPr>
          <w:shd w:val="clear" w:color="auto" w:fill="FFFFFF" w:themeFill="background1"/>
        </w:rPr>
        <w:fldChar w:fldCharType="begin"/>
      </w:r>
      <w:r>
        <w:rPr>
          <w:shd w:val="clear" w:color="auto" w:fill="FFFFFF" w:themeFill="background1"/>
        </w:rPr>
        <w:instrText xml:space="preserve"> SEQ </w:instrText>
      </w:r>
      <w:r>
        <w:rPr>
          <w:shd w:val="clear" w:color="auto" w:fill="FFFFFF" w:themeFill="background1"/>
        </w:rPr>
        <w:instrText>附表</w:instrText>
      </w:r>
      <w:r>
        <w:rPr>
          <w:shd w:val="clear" w:color="auto" w:fill="FFFFFF" w:themeFill="background1"/>
        </w:rPr>
        <w:instrText xml:space="preserve"> \* ARABIC </w:instrText>
      </w:r>
      <w:r>
        <w:rPr>
          <w:shd w:val="clear" w:color="auto" w:fill="FFFFFF" w:themeFill="background1"/>
        </w:rPr>
        <w:fldChar w:fldCharType="separate"/>
      </w:r>
      <w:r w:rsidR="00A057C8">
        <w:rPr>
          <w:noProof/>
          <w:shd w:val="clear" w:color="auto" w:fill="FFFFFF" w:themeFill="background1"/>
        </w:rPr>
        <w:t>3</w:t>
      </w:r>
      <w:r>
        <w:rPr>
          <w:shd w:val="clear" w:color="auto" w:fill="FFFFFF" w:themeFill="background1"/>
        </w:rPr>
        <w:fldChar w:fldCharType="end"/>
      </w:r>
      <w:r>
        <w:rPr>
          <w:shd w:val="clear" w:color="auto" w:fill="FFFFFF" w:themeFill="background1"/>
        </w:rPr>
        <w:t xml:space="preserve">  IPv6</w:t>
      </w:r>
      <w:r>
        <w:rPr>
          <w:shd w:val="clear" w:color="auto" w:fill="FFFFFF" w:themeFill="background1"/>
        </w:rPr>
        <w:t>地址数（以块</w:t>
      </w:r>
      <w:r>
        <w:rPr>
          <w:shd w:val="clear" w:color="auto" w:fill="FFFFFF" w:themeFill="background1"/>
        </w:rPr>
        <w:t>/32</w:t>
      </w:r>
      <w:r>
        <w:rPr>
          <w:shd w:val="clear" w:color="auto" w:fill="FFFFFF" w:themeFill="background1"/>
          <w:vertAlign w:val="superscript"/>
        </w:rPr>
        <w:t>注</w:t>
      </w:r>
      <w:r>
        <w:rPr>
          <w:shd w:val="clear" w:color="auto" w:fill="FFFFFF" w:themeFill="background1"/>
          <w:vertAlign w:val="superscript"/>
        </w:rPr>
        <w:t>1</w:t>
      </w:r>
      <w:r>
        <w:rPr>
          <w:shd w:val="clear" w:color="auto" w:fill="FFFFFF" w:themeFill="background1"/>
        </w:rPr>
        <w:t>为单位）</w:t>
      </w:r>
    </w:p>
    <w:tbl>
      <w:tblPr>
        <w:tblW w:w="8164"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95"/>
        <w:gridCol w:w="3969"/>
      </w:tblGrid>
      <w:tr w:rsidR="008810A2" w14:paraId="5A9C49E7" w14:textId="77777777" w:rsidTr="00407C9F">
        <w:trPr>
          <w:trHeight w:val="340"/>
        </w:trPr>
        <w:tc>
          <w:tcPr>
            <w:tcW w:w="4195" w:type="dxa"/>
            <w:tcBorders>
              <w:top w:val="single" w:sz="4" w:space="0" w:color="auto"/>
              <w:bottom w:val="single" w:sz="4" w:space="0" w:color="auto"/>
              <w:right w:val="single" w:sz="4" w:space="0" w:color="auto"/>
            </w:tcBorders>
            <w:noWrap/>
            <w:vAlign w:val="center"/>
          </w:tcPr>
          <w:p w14:paraId="33EEB00A"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地区</w:t>
            </w:r>
          </w:p>
        </w:tc>
        <w:tc>
          <w:tcPr>
            <w:tcW w:w="3969" w:type="dxa"/>
            <w:tcBorders>
              <w:top w:val="single" w:sz="4" w:space="0" w:color="auto"/>
              <w:left w:val="single" w:sz="4" w:space="0" w:color="auto"/>
              <w:bottom w:val="single" w:sz="4" w:space="0" w:color="auto"/>
            </w:tcBorders>
            <w:noWrap/>
            <w:vAlign w:val="center"/>
          </w:tcPr>
          <w:p w14:paraId="66E42CEC"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地址量</w:t>
            </w:r>
          </w:p>
        </w:tc>
      </w:tr>
      <w:tr w:rsidR="008810A2" w14:paraId="608371E5" w14:textId="77777777" w:rsidTr="00407C9F">
        <w:trPr>
          <w:trHeight w:val="340"/>
        </w:trPr>
        <w:tc>
          <w:tcPr>
            <w:tcW w:w="4195" w:type="dxa"/>
            <w:tcBorders>
              <w:top w:val="single" w:sz="4" w:space="0" w:color="auto"/>
              <w:bottom w:val="nil"/>
              <w:right w:val="single" w:sz="4" w:space="0" w:color="auto"/>
            </w:tcBorders>
            <w:noWrap/>
            <w:vAlign w:val="center"/>
          </w:tcPr>
          <w:p w14:paraId="38CBF989"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中国内地</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大陆</w:t>
            </w:r>
            <w:r>
              <w:rPr>
                <w:rFonts w:asciiTheme="majorEastAsia" w:eastAsiaTheme="majorEastAsia" w:hAnsiTheme="majorEastAsia"/>
                <w:color w:val="000000" w:themeColor="text1"/>
                <w:sz w:val="20"/>
                <w:szCs w:val="20"/>
              </w:rPr>
              <w:t>）</w:t>
            </w:r>
          </w:p>
        </w:tc>
        <w:tc>
          <w:tcPr>
            <w:tcW w:w="3969" w:type="dxa"/>
            <w:tcBorders>
              <w:top w:val="single" w:sz="4" w:space="0" w:color="auto"/>
              <w:left w:val="single" w:sz="4" w:space="0" w:color="auto"/>
              <w:bottom w:val="nil"/>
            </w:tcBorders>
            <w:noWrap/>
            <w:vAlign w:val="center"/>
          </w:tcPr>
          <w:p w14:paraId="0430D5B7" w14:textId="77777777" w:rsidR="008810A2" w:rsidRDefault="00D921E0">
            <w:pPr>
              <w:spacing w:line="240" w:lineRule="auto"/>
              <w:ind w:rightChars="760" w:right="1596" w:firstLineChars="0" w:firstLine="0"/>
              <w:jc w:val="right"/>
              <w:rPr>
                <w:rFonts w:eastAsiaTheme="majorEastAsia"/>
                <w:color w:val="000000" w:themeColor="text1"/>
                <w:kern w:val="0"/>
                <w:sz w:val="20"/>
                <w:szCs w:val="20"/>
              </w:rPr>
            </w:pPr>
            <w:r>
              <w:rPr>
                <w:rFonts w:eastAsia="等线"/>
                <w:color w:val="000000"/>
                <w:sz w:val="20"/>
                <w:szCs w:val="20"/>
              </w:rPr>
              <w:t>64,435</w:t>
            </w:r>
          </w:p>
        </w:tc>
      </w:tr>
      <w:tr w:rsidR="008810A2" w14:paraId="24822FA2" w14:textId="77777777" w:rsidTr="00407C9F">
        <w:trPr>
          <w:trHeight w:val="340"/>
        </w:trPr>
        <w:tc>
          <w:tcPr>
            <w:tcW w:w="4195" w:type="dxa"/>
            <w:tcBorders>
              <w:top w:val="nil"/>
              <w:bottom w:val="nil"/>
              <w:right w:val="single" w:sz="4" w:space="0" w:color="auto"/>
            </w:tcBorders>
            <w:noWrap/>
            <w:vAlign w:val="center"/>
          </w:tcPr>
          <w:p w14:paraId="2DB542AC"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香港</w:t>
            </w:r>
          </w:p>
        </w:tc>
        <w:tc>
          <w:tcPr>
            <w:tcW w:w="3969" w:type="dxa"/>
            <w:tcBorders>
              <w:top w:val="nil"/>
              <w:left w:val="single" w:sz="4" w:space="0" w:color="auto"/>
              <w:bottom w:val="nil"/>
            </w:tcBorders>
            <w:noWrap/>
            <w:vAlign w:val="center"/>
          </w:tcPr>
          <w:p w14:paraId="1DCB8A37" w14:textId="77777777" w:rsidR="008810A2" w:rsidRDefault="00D921E0">
            <w:pPr>
              <w:spacing w:line="240" w:lineRule="auto"/>
              <w:ind w:rightChars="760" w:right="1596" w:firstLineChars="0" w:firstLine="0"/>
              <w:jc w:val="right"/>
              <w:rPr>
                <w:rFonts w:eastAsiaTheme="majorEastAsia"/>
                <w:color w:val="000000" w:themeColor="text1"/>
                <w:kern w:val="0"/>
                <w:sz w:val="20"/>
                <w:szCs w:val="20"/>
              </w:rPr>
            </w:pPr>
            <w:r>
              <w:rPr>
                <w:rFonts w:eastAsia="等线"/>
                <w:color w:val="000000"/>
                <w:sz w:val="20"/>
                <w:szCs w:val="20"/>
              </w:rPr>
              <w:t>2,024</w:t>
            </w:r>
          </w:p>
        </w:tc>
      </w:tr>
      <w:tr w:rsidR="008810A2" w14:paraId="096FD121" w14:textId="77777777" w:rsidTr="00407C9F">
        <w:trPr>
          <w:trHeight w:val="340"/>
        </w:trPr>
        <w:tc>
          <w:tcPr>
            <w:tcW w:w="4195" w:type="dxa"/>
            <w:tcBorders>
              <w:top w:val="nil"/>
              <w:bottom w:val="nil"/>
              <w:right w:val="single" w:sz="4" w:space="0" w:color="auto"/>
            </w:tcBorders>
            <w:noWrap/>
            <w:vAlign w:val="center"/>
          </w:tcPr>
          <w:p w14:paraId="316A108D"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澳门</w:t>
            </w:r>
          </w:p>
        </w:tc>
        <w:tc>
          <w:tcPr>
            <w:tcW w:w="3969" w:type="dxa"/>
            <w:tcBorders>
              <w:top w:val="nil"/>
              <w:left w:val="single" w:sz="4" w:space="0" w:color="auto"/>
              <w:bottom w:val="nil"/>
            </w:tcBorders>
            <w:noWrap/>
            <w:vAlign w:val="center"/>
          </w:tcPr>
          <w:p w14:paraId="4D09BBA0" w14:textId="77777777" w:rsidR="008810A2" w:rsidRDefault="00D921E0">
            <w:pPr>
              <w:spacing w:line="240" w:lineRule="auto"/>
              <w:ind w:rightChars="760" w:right="1596" w:firstLineChars="0" w:firstLine="0"/>
              <w:jc w:val="right"/>
              <w:rPr>
                <w:rFonts w:eastAsiaTheme="majorEastAsia"/>
                <w:color w:val="000000" w:themeColor="text1"/>
                <w:kern w:val="0"/>
                <w:sz w:val="20"/>
                <w:szCs w:val="20"/>
              </w:rPr>
            </w:pPr>
            <w:r>
              <w:rPr>
                <w:rFonts w:eastAsia="等线"/>
                <w:color w:val="000000"/>
                <w:sz w:val="20"/>
                <w:szCs w:val="20"/>
              </w:rPr>
              <w:t>9</w:t>
            </w:r>
          </w:p>
        </w:tc>
      </w:tr>
      <w:tr w:rsidR="008810A2" w14:paraId="0A9938C0" w14:textId="77777777" w:rsidTr="00407C9F">
        <w:trPr>
          <w:trHeight w:val="340"/>
        </w:trPr>
        <w:tc>
          <w:tcPr>
            <w:tcW w:w="4195" w:type="dxa"/>
            <w:tcBorders>
              <w:top w:val="nil"/>
              <w:right w:val="single" w:sz="4" w:space="0" w:color="auto"/>
            </w:tcBorders>
            <w:noWrap/>
            <w:vAlign w:val="center"/>
          </w:tcPr>
          <w:p w14:paraId="21B696F6"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台湾</w:t>
            </w:r>
          </w:p>
        </w:tc>
        <w:tc>
          <w:tcPr>
            <w:tcW w:w="3969" w:type="dxa"/>
            <w:tcBorders>
              <w:top w:val="nil"/>
              <w:left w:val="single" w:sz="4" w:space="0" w:color="auto"/>
            </w:tcBorders>
            <w:noWrap/>
            <w:vAlign w:val="center"/>
          </w:tcPr>
          <w:p w14:paraId="74CA2924" w14:textId="77777777" w:rsidR="008810A2" w:rsidRDefault="00D921E0">
            <w:pPr>
              <w:spacing w:line="240" w:lineRule="auto"/>
              <w:ind w:rightChars="760" w:right="1596" w:firstLineChars="0" w:firstLine="0"/>
              <w:jc w:val="right"/>
              <w:rPr>
                <w:rFonts w:eastAsiaTheme="majorEastAsia"/>
                <w:color w:val="000000" w:themeColor="text1"/>
                <w:kern w:val="0"/>
                <w:sz w:val="20"/>
                <w:szCs w:val="20"/>
              </w:rPr>
            </w:pPr>
            <w:r>
              <w:rPr>
                <w:rFonts w:eastAsia="等线"/>
                <w:color w:val="000000"/>
                <w:sz w:val="20"/>
                <w:szCs w:val="20"/>
              </w:rPr>
              <w:t>2,612</w:t>
            </w:r>
          </w:p>
        </w:tc>
      </w:tr>
    </w:tbl>
    <w:p w14:paraId="3322DC2B" w14:textId="77777777" w:rsidR="008810A2" w:rsidRDefault="008810A2">
      <w:pPr>
        <w:ind w:firstLineChars="0" w:firstLine="0"/>
        <w:rPr>
          <w:color w:val="000000" w:themeColor="text1"/>
        </w:rPr>
      </w:pPr>
    </w:p>
    <w:p w14:paraId="5B651CDC" w14:textId="5F2B3D4C" w:rsidR="008810A2" w:rsidRDefault="00D921E0" w:rsidP="002B0D05">
      <w:pPr>
        <w:pStyle w:val="a4"/>
        <w:rPr>
          <w:shd w:val="clear" w:color="auto" w:fill="FFFFFF" w:themeFill="background1"/>
        </w:rPr>
      </w:pPr>
      <w:r>
        <w:rPr>
          <w:rFonts w:hint="eastAsia"/>
          <w:shd w:val="clear" w:color="auto" w:fill="FFFFFF" w:themeFill="background1"/>
        </w:rPr>
        <w:t>附表</w:t>
      </w:r>
      <w:r>
        <w:rPr>
          <w:shd w:val="clear" w:color="auto" w:fill="FFFFFF" w:themeFill="background1"/>
        </w:rPr>
        <w:t xml:space="preserve"> </w:t>
      </w:r>
      <w:r>
        <w:rPr>
          <w:shd w:val="clear" w:color="auto" w:fill="FFFFFF" w:themeFill="background1"/>
        </w:rPr>
        <w:fldChar w:fldCharType="begin"/>
      </w:r>
      <w:r>
        <w:rPr>
          <w:shd w:val="clear" w:color="auto" w:fill="FFFFFF" w:themeFill="background1"/>
        </w:rPr>
        <w:instrText xml:space="preserve"> SEQ </w:instrText>
      </w:r>
      <w:r>
        <w:rPr>
          <w:shd w:val="clear" w:color="auto" w:fill="FFFFFF" w:themeFill="background1"/>
        </w:rPr>
        <w:instrText>附表</w:instrText>
      </w:r>
      <w:r>
        <w:rPr>
          <w:shd w:val="clear" w:color="auto" w:fill="FFFFFF" w:themeFill="background1"/>
        </w:rPr>
        <w:instrText xml:space="preserve"> \* ARABIC </w:instrText>
      </w:r>
      <w:r>
        <w:rPr>
          <w:shd w:val="clear" w:color="auto" w:fill="FFFFFF" w:themeFill="background1"/>
        </w:rPr>
        <w:fldChar w:fldCharType="separate"/>
      </w:r>
      <w:r w:rsidR="00A057C8">
        <w:rPr>
          <w:noProof/>
          <w:shd w:val="clear" w:color="auto" w:fill="FFFFFF" w:themeFill="background1"/>
        </w:rPr>
        <w:t>4</w:t>
      </w:r>
      <w:r>
        <w:rPr>
          <w:shd w:val="clear" w:color="auto" w:fill="FFFFFF" w:themeFill="background1"/>
        </w:rPr>
        <w:fldChar w:fldCharType="end"/>
      </w:r>
      <w:r>
        <w:rPr>
          <w:shd w:val="clear" w:color="auto" w:fill="FFFFFF" w:themeFill="background1"/>
        </w:rPr>
        <w:t xml:space="preserve">  </w:t>
      </w:r>
      <w:r>
        <w:rPr>
          <w:rFonts w:hint="eastAsia"/>
          <w:shd w:val="clear" w:color="auto" w:fill="FFFFFF" w:themeFill="background1"/>
        </w:rPr>
        <w:t>按分配单位</w:t>
      </w:r>
      <w:r>
        <w:rPr>
          <w:shd w:val="clear" w:color="auto" w:fill="FFFFFF" w:themeFill="background1"/>
        </w:rPr>
        <w:t>IPv6</w:t>
      </w:r>
      <w:r>
        <w:rPr>
          <w:rFonts w:hint="eastAsia"/>
          <w:shd w:val="clear" w:color="auto" w:fill="FFFFFF" w:themeFill="background1"/>
        </w:rPr>
        <w:t>地址数</w:t>
      </w:r>
    </w:p>
    <w:tbl>
      <w:tblPr>
        <w:tblW w:w="8277" w:type="dxa"/>
        <w:jc w:val="center"/>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365"/>
        <w:gridCol w:w="3912"/>
      </w:tblGrid>
      <w:tr w:rsidR="008810A2" w14:paraId="5DEA48EC" w14:textId="77777777" w:rsidTr="00407C9F">
        <w:trPr>
          <w:trHeight w:val="340"/>
          <w:jc w:val="center"/>
        </w:trPr>
        <w:tc>
          <w:tcPr>
            <w:tcW w:w="4365" w:type="dxa"/>
            <w:tcBorders>
              <w:top w:val="single" w:sz="4" w:space="0" w:color="auto"/>
              <w:right w:val="single" w:sz="4" w:space="0" w:color="auto"/>
            </w:tcBorders>
            <w:noWrap/>
            <w:vAlign w:val="center"/>
          </w:tcPr>
          <w:p w14:paraId="51110973" w14:textId="77777777" w:rsidR="008810A2" w:rsidRDefault="00D921E0">
            <w:pPr>
              <w:spacing w:line="240" w:lineRule="auto"/>
              <w:ind w:firstLineChars="0" w:firstLine="0"/>
              <w:jc w:val="center"/>
              <w:rPr>
                <w:rFonts w:eastAsiaTheme="minorEastAsia"/>
                <w:bCs/>
                <w:color w:val="000000" w:themeColor="text1"/>
                <w:kern w:val="0"/>
                <w:sz w:val="20"/>
                <w:szCs w:val="21"/>
              </w:rPr>
            </w:pPr>
            <w:r>
              <w:rPr>
                <w:rFonts w:eastAsiaTheme="minorEastAsia"/>
                <w:bCs/>
                <w:color w:val="000000" w:themeColor="text1"/>
                <w:kern w:val="0"/>
                <w:sz w:val="20"/>
                <w:szCs w:val="21"/>
              </w:rPr>
              <w:t>单位名称</w:t>
            </w:r>
          </w:p>
        </w:tc>
        <w:tc>
          <w:tcPr>
            <w:tcW w:w="3912" w:type="dxa"/>
            <w:tcBorders>
              <w:top w:val="single" w:sz="4" w:space="0" w:color="auto"/>
              <w:left w:val="single" w:sz="4" w:space="0" w:color="auto"/>
              <w:bottom w:val="single" w:sz="4" w:space="0" w:color="auto"/>
            </w:tcBorders>
            <w:noWrap/>
            <w:vAlign w:val="center"/>
          </w:tcPr>
          <w:p w14:paraId="15A45F57" w14:textId="77777777" w:rsidR="008810A2" w:rsidRDefault="00D921E0">
            <w:pPr>
              <w:spacing w:line="240" w:lineRule="auto"/>
              <w:ind w:firstLineChars="0" w:firstLine="0"/>
              <w:jc w:val="center"/>
              <w:rPr>
                <w:rFonts w:eastAsiaTheme="minorEastAsia"/>
                <w:bCs/>
                <w:color w:val="000000" w:themeColor="text1"/>
                <w:kern w:val="0"/>
                <w:sz w:val="20"/>
                <w:szCs w:val="21"/>
              </w:rPr>
            </w:pPr>
            <w:r>
              <w:rPr>
                <w:rFonts w:eastAsiaTheme="minorEastAsia"/>
                <w:bCs/>
                <w:color w:val="000000" w:themeColor="text1"/>
                <w:kern w:val="0"/>
                <w:sz w:val="20"/>
                <w:szCs w:val="21"/>
              </w:rPr>
              <w:t>地址量</w:t>
            </w:r>
          </w:p>
        </w:tc>
      </w:tr>
      <w:tr w:rsidR="008810A2" w14:paraId="004CDC04" w14:textId="77777777" w:rsidTr="00407C9F">
        <w:trPr>
          <w:trHeight w:val="340"/>
          <w:jc w:val="center"/>
        </w:trPr>
        <w:tc>
          <w:tcPr>
            <w:tcW w:w="4365" w:type="dxa"/>
            <w:tcBorders>
              <w:bottom w:val="nil"/>
              <w:right w:val="single" w:sz="4" w:space="0" w:color="auto"/>
            </w:tcBorders>
            <w:noWrap/>
            <w:vAlign w:val="center"/>
          </w:tcPr>
          <w:p w14:paraId="7FFC6809"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CNNIC IP</w:t>
            </w:r>
            <w:r>
              <w:rPr>
                <w:rFonts w:eastAsiaTheme="minorEastAsia"/>
                <w:color w:val="000000" w:themeColor="text1"/>
                <w:sz w:val="20"/>
                <w:szCs w:val="21"/>
              </w:rPr>
              <w:t>地址分配联盟</w:t>
            </w:r>
          </w:p>
        </w:tc>
        <w:tc>
          <w:tcPr>
            <w:tcW w:w="3912" w:type="dxa"/>
            <w:tcBorders>
              <w:top w:val="single" w:sz="4" w:space="0" w:color="auto"/>
              <w:left w:val="single" w:sz="4" w:space="0" w:color="auto"/>
              <w:bottom w:val="nil"/>
            </w:tcBorders>
            <w:noWrap/>
            <w:vAlign w:val="center"/>
          </w:tcPr>
          <w:p w14:paraId="11302D77" w14:textId="77777777" w:rsidR="008810A2" w:rsidRDefault="00D921E0">
            <w:pPr>
              <w:spacing w:line="240" w:lineRule="auto"/>
              <w:ind w:rightChars="643" w:right="1350" w:firstLineChars="0" w:firstLine="0"/>
              <w:jc w:val="right"/>
              <w:rPr>
                <w:rFonts w:eastAsiaTheme="minorEastAsia"/>
                <w:color w:val="000000" w:themeColor="text1"/>
                <w:sz w:val="20"/>
                <w:szCs w:val="21"/>
              </w:rPr>
            </w:pPr>
            <w:r>
              <w:rPr>
                <w:rFonts w:eastAsia="等线"/>
                <w:color w:val="000000"/>
                <w:sz w:val="20"/>
                <w:szCs w:val="20"/>
              </w:rPr>
              <w:t>26,726</w:t>
            </w:r>
            <w:r>
              <w:rPr>
                <w:rFonts w:hint="eastAsia"/>
                <w:color w:val="000000"/>
                <w:szCs w:val="21"/>
                <w:vertAlign w:val="superscript"/>
              </w:rPr>
              <w:t>注</w:t>
            </w:r>
            <w:r>
              <w:rPr>
                <w:rFonts w:eastAsia="等线"/>
                <w:color w:val="000000"/>
                <w:szCs w:val="21"/>
                <w:vertAlign w:val="superscript"/>
              </w:rPr>
              <w:t>2</w:t>
            </w:r>
          </w:p>
        </w:tc>
      </w:tr>
      <w:tr w:rsidR="008810A2" w14:paraId="718A4B1C" w14:textId="77777777" w:rsidTr="00407C9F">
        <w:trPr>
          <w:trHeight w:val="340"/>
          <w:jc w:val="center"/>
        </w:trPr>
        <w:tc>
          <w:tcPr>
            <w:tcW w:w="4365" w:type="dxa"/>
            <w:tcBorders>
              <w:top w:val="nil"/>
              <w:bottom w:val="nil"/>
              <w:right w:val="single" w:sz="4" w:space="0" w:color="auto"/>
            </w:tcBorders>
            <w:noWrap/>
            <w:vAlign w:val="center"/>
          </w:tcPr>
          <w:p w14:paraId="1FA13842"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中国电信集团有限公司</w:t>
            </w:r>
          </w:p>
        </w:tc>
        <w:tc>
          <w:tcPr>
            <w:tcW w:w="3912" w:type="dxa"/>
            <w:tcBorders>
              <w:top w:val="nil"/>
              <w:left w:val="single" w:sz="4" w:space="0" w:color="auto"/>
              <w:bottom w:val="nil"/>
            </w:tcBorders>
            <w:noWrap/>
            <w:vAlign w:val="center"/>
          </w:tcPr>
          <w:p w14:paraId="06F7F54D" w14:textId="77777777" w:rsidR="008810A2" w:rsidRDefault="00D921E0">
            <w:pPr>
              <w:spacing w:line="240" w:lineRule="auto"/>
              <w:ind w:rightChars="760" w:right="1596" w:firstLineChars="0" w:firstLine="0"/>
              <w:jc w:val="right"/>
              <w:rPr>
                <w:rFonts w:eastAsiaTheme="minorEastAsia"/>
                <w:color w:val="000000" w:themeColor="text1"/>
                <w:sz w:val="20"/>
                <w:szCs w:val="21"/>
              </w:rPr>
            </w:pPr>
            <w:r>
              <w:rPr>
                <w:rFonts w:eastAsia="等线"/>
                <w:color w:val="000000"/>
                <w:sz w:val="20"/>
                <w:szCs w:val="20"/>
              </w:rPr>
              <w:t>16,387</w:t>
            </w:r>
          </w:p>
        </w:tc>
      </w:tr>
      <w:tr w:rsidR="008810A2" w14:paraId="18D71DFD" w14:textId="77777777" w:rsidTr="00407C9F">
        <w:trPr>
          <w:trHeight w:val="340"/>
          <w:jc w:val="center"/>
        </w:trPr>
        <w:tc>
          <w:tcPr>
            <w:tcW w:w="4365" w:type="dxa"/>
            <w:tcBorders>
              <w:top w:val="nil"/>
              <w:bottom w:val="nil"/>
              <w:right w:val="single" w:sz="4" w:space="0" w:color="auto"/>
            </w:tcBorders>
            <w:noWrap/>
            <w:vAlign w:val="center"/>
          </w:tcPr>
          <w:p w14:paraId="61705D97"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中国教育和科研计算机网</w:t>
            </w:r>
          </w:p>
        </w:tc>
        <w:tc>
          <w:tcPr>
            <w:tcW w:w="3912" w:type="dxa"/>
            <w:tcBorders>
              <w:top w:val="nil"/>
              <w:left w:val="single" w:sz="4" w:space="0" w:color="auto"/>
              <w:bottom w:val="nil"/>
            </w:tcBorders>
            <w:noWrap/>
            <w:vAlign w:val="center"/>
          </w:tcPr>
          <w:p w14:paraId="2EC363C4" w14:textId="77777777" w:rsidR="008810A2" w:rsidRDefault="00D921E0">
            <w:pPr>
              <w:spacing w:line="240" w:lineRule="auto"/>
              <w:ind w:rightChars="760" w:right="1596" w:firstLineChars="0" w:firstLine="0"/>
              <w:jc w:val="right"/>
              <w:rPr>
                <w:rFonts w:eastAsiaTheme="minorEastAsia"/>
                <w:color w:val="000000" w:themeColor="text1"/>
                <w:sz w:val="20"/>
                <w:szCs w:val="21"/>
              </w:rPr>
            </w:pPr>
            <w:r>
              <w:rPr>
                <w:rFonts w:eastAsia="等线"/>
                <w:color w:val="000000"/>
                <w:sz w:val="20"/>
                <w:szCs w:val="20"/>
              </w:rPr>
              <w:t>10,258</w:t>
            </w:r>
          </w:p>
        </w:tc>
      </w:tr>
      <w:tr w:rsidR="008810A2" w14:paraId="722342F2" w14:textId="77777777" w:rsidTr="00407C9F">
        <w:trPr>
          <w:trHeight w:val="340"/>
          <w:jc w:val="center"/>
        </w:trPr>
        <w:tc>
          <w:tcPr>
            <w:tcW w:w="4365" w:type="dxa"/>
            <w:tcBorders>
              <w:top w:val="nil"/>
              <w:bottom w:val="nil"/>
              <w:right w:val="single" w:sz="4" w:space="0" w:color="auto"/>
            </w:tcBorders>
            <w:noWrap/>
            <w:vAlign w:val="center"/>
          </w:tcPr>
          <w:p w14:paraId="0FA626D7"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中国联合网络通信集团有限公司</w:t>
            </w:r>
          </w:p>
        </w:tc>
        <w:tc>
          <w:tcPr>
            <w:tcW w:w="3912" w:type="dxa"/>
            <w:tcBorders>
              <w:top w:val="nil"/>
              <w:left w:val="single" w:sz="4" w:space="0" w:color="auto"/>
              <w:bottom w:val="nil"/>
            </w:tcBorders>
            <w:noWrap/>
            <w:vAlign w:val="center"/>
          </w:tcPr>
          <w:p w14:paraId="742CB4DC" w14:textId="77777777" w:rsidR="008810A2" w:rsidRDefault="00D921E0">
            <w:pPr>
              <w:spacing w:line="240" w:lineRule="auto"/>
              <w:ind w:rightChars="760" w:right="1596" w:firstLineChars="0" w:firstLine="0"/>
              <w:jc w:val="right"/>
              <w:rPr>
                <w:rFonts w:eastAsiaTheme="minorEastAsia"/>
                <w:color w:val="000000" w:themeColor="text1"/>
                <w:sz w:val="20"/>
                <w:szCs w:val="21"/>
              </w:rPr>
            </w:pPr>
            <w:r>
              <w:rPr>
                <w:rFonts w:eastAsia="等线"/>
                <w:color w:val="000000"/>
                <w:sz w:val="20"/>
                <w:szCs w:val="20"/>
              </w:rPr>
              <w:t>4,097</w:t>
            </w:r>
          </w:p>
        </w:tc>
      </w:tr>
      <w:tr w:rsidR="008810A2" w14:paraId="39570DDC" w14:textId="77777777" w:rsidTr="00407C9F">
        <w:trPr>
          <w:trHeight w:val="340"/>
          <w:jc w:val="center"/>
        </w:trPr>
        <w:tc>
          <w:tcPr>
            <w:tcW w:w="4365" w:type="dxa"/>
            <w:tcBorders>
              <w:top w:val="nil"/>
              <w:bottom w:val="nil"/>
              <w:right w:val="single" w:sz="4" w:space="0" w:color="auto"/>
            </w:tcBorders>
            <w:noWrap/>
            <w:vAlign w:val="center"/>
          </w:tcPr>
          <w:p w14:paraId="4DCC34D3"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中国移动通信集团有限公司</w:t>
            </w:r>
          </w:p>
        </w:tc>
        <w:tc>
          <w:tcPr>
            <w:tcW w:w="3912" w:type="dxa"/>
            <w:tcBorders>
              <w:top w:val="nil"/>
              <w:left w:val="single" w:sz="4" w:space="0" w:color="auto"/>
              <w:bottom w:val="nil"/>
            </w:tcBorders>
            <w:noWrap/>
            <w:vAlign w:val="center"/>
          </w:tcPr>
          <w:p w14:paraId="2E1366AF" w14:textId="77777777" w:rsidR="008810A2" w:rsidRDefault="00D921E0">
            <w:pPr>
              <w:spacing w:line="240" w:lineRule="auto"/>
              <w:ind w:rightChars="760" w:right="1596" w:firstLineChars="0" w:firstLine="0"/>
              <w:jc w:val="right"/>
              <w:rPr>
                <w:rFonts w:eastAsiaTheme="minorEastAsia"/>
                <w:color w:val="000000" w:themeColor="text1"/>
                <w:sz w:val="20"/>
                <w:szCs w:val="21"/>
              </w:rPr>
            </w:pPr>
            <w:r>
              <w:rPr>
                <w:rFonts w:eastAsia="等线"/>
                <w:color w:val="000000"/>
                <w:sz w:val="20"/>
                <w:szCs w:val="20"/>
              </w:rPr>
              <w:t>4,097</w:t>
            </w:r>
          </w:p>
        </w:tc>
      </w:tr>
      <w:tr w:rsidR="008810A2" w14:paraId="2C8BEDC0" w14:textId="77777777" w:rsidTr="00407C9F">
        <w:trPr>
          <w:trHeight w:val="340"/>
          <w:jc w:val="center"/>
        </w:trPr>
        <w:tc>
          <w:tcPr>
            <w:tcW w:w="4365" w:type="dxa"/>
            <w:tcBorders>
              <w:top w:val="nil"/>
              <w:bottom w:val="nil"/>
              <w:right w:val="single" w:sz="4" w:space="0" w:color="auto"/>
            </w:tcBorders>
            <w:noWrap/>
            <w:vAlign w:val="center"/>
          </w:tcPr>
          <w:p w14:paraId="5BBB72EF" w14:textId="77777777" w:rsidR="008810A2" w:rsidRDefault="00D921E0">
            <w:pPr>
              <w:spacing w:line="240" w:lineRule="auto"/>
              <w:ind w:firstLineChars="0" w:firstLine="0"/>
              <w:jc w:val="center"/>
              <w:rPr>
                <w:rFonts w:eastAsiaTheme="minorEastAsia"/>
                <w:color w:val="000000" w:themeColor="text1"/>
                <w:sz w:val="20"/>
                <w:szCs w:val="21"/>
              </w:rPr>
            </w:pPr>
            <w:proofErr w:type="gramStart"/>
            <w:r>
              <w:rPr>
                <w:rFonts w:eastAsiaTheme="minorEastAsia"/>
                <w:color w:val="000000" w:themeColor="text1"/>
                <w:sz w:val="20"/>
                <w:szCs w:val="21"/>
              </w:rPr>
              <w:t>中移铁通</w:t>
            </w:r>
            <w:proofErr w:type="gramEnd"/>
            <w:r>
              <w:rPr>
                <w:rFonts w:eastAsiaTheme="minorEastAsia"/>
                <w:color w:val="000000" w:themeColor="text1"/>
                <w:sz w:val="20"/>
                <w:szCs w:val="21"/>
              </w:rPr>
              <w:t>有限公司</w:t>
            </w:r>
          </w:p>
        </w:tc>
        <w:tc>
          <w:tcPr>
            <w:tcW w:w="3912" w:type="dxa"/>
            <w:tcBorders>
              <w:top w:val="nil"/>
              <w:left w:val="single" w:sz="4" w:space="0" w:color="auto"/>
              <w:bottom w:val="nil"/>
            </w:tcBorders>
            <w:noWrap/>
            <w:vAlign w:val="center"/>
          </w:tcPr>
          <w:p w14:paraId="413515A3" w14:textId="77777777" w:rsidR="008810A2" w:rsidRDefault="00D921E0">
            <w:pPr>
              <w:spacing w:line="240" w:lineRule="auto"/>
              <w:ind w:rightChars="643" w:right="1350" w:firstLineChars="0" w:firstLine="0"/>
              <w:jc w:val="right"/>
              <w:rPr>
                <w:rFonts w:eastAsiaTheme="minorEastAsia"/>
                <w:color w:val="000000" w:themeColor="text1"/>
                <w:sz w:val="20"/>
                <w:szCs w:val="21"/>
              </w:rPr>
            </w:pPr>
            <w:r>
              <w:rPr>
                <w:rFonts w:eastAsia="等线"/>
                <w:color w:val="000000"/>
                <w:sz w:val="20"/>
                <w:szCs w:val="20"/>
              </w:rPr>
              <w:t>2,049</w:t>
            </w:r>
            <w:r>
              <w:rPr>
                <w:rFonts w:hint="eastAsia"/>
                <w:color w:val="000000"/>
                <w:szCs w:val="21"/>
                <w:vertAlign w:val="superscript"/>
              </w:rPr>
              <w:t>注</w:t>
            </w:r>
            <w:r>
              <w:rPr>
                <w:rFonts w:eastAsia="等线"/>
                <w:color w:val="000000"/>
                <w:szCs w:val="21"/>
                <w:vertAlign w:val="superscript"/>
              </w:rPr>
              <w:t>3</w:t>
            </w:r>
          </w:p>
        </w:tc>
      </w:tr>
      <w:tr w:rsidR="008810A2" w14:paraId="68658348" w14:textId="77777777" w:rsidTr="00407C9F">
        <w:trPr>
          <w:trHeight w:val="340"/>
          <w:jc w:val="center"/>
        </w:trPr>
        <w:tc>
          <w:tcPr>
            <w:tcW w:w="4365" w:type="dxa"/>
            <w:tcBorders>
              <w:top w:val="nil"/>
              <w:bottom w:val="nil"/>
              <w:right w:val="single" w:sz="4" w:space="0" w:color="auto"/>
            </w:tcBorders>
            <w:noWrap/>
            <w:vAlign w:val="center"/>
          </w:tcPr>
          <w:p w14:paraId="0F2CA8EF"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其他</w:t>
            </w:r>
          </w:p>
        </w:tc>
        <w:tc>
          <w:tcPr>
            <w:tcW w:w="3912" w:type="dxa"/>
            <w:tcBorders>
              <w:top w:val="nil"/>
              <w:left w:val="single" w:sz="4" w:space="0" w:color="auto"/>
              <w:bottom w:val="nil"/>
            </w:tcBorders>
            <w:noWrap/>
            <w:vAlign w:val="center"/>
          </w:tcPr>
          <w:p w14:paraId="3F59858F" w14:textId="77777777" w:rsidR="008810A2" w:rsidRDefault="00D921E0">
            <w:pPr>
              <w:spacing w:line="240" w:lineRule="auto"/>
              <w:ind w:rightChars="643" w:right="1350" w:firstLineChars="0" w:firstLine="0"/>
              <w:jc w:val="right"/>
              <w:rPr>
                <w:rFonts w:eastAsiaTheme="minorEastAsia"/>
                <w:color w:val="000000" w:themeColor="text1"/>
                <w:sz w:val="20"/>
                <w:szCs w:val="21"/>
              </w:rPr>
            </w:pPr>
            <w:r>
              <w:rPr>
                <w:rFonts w:eastAsia="等线"/>
                <w:color w:val="000000"/>
                <w:sz w:val="20"/>
                <w:szCs w:val="20"/>
              </w:rPr>
              <w:t>821</w:t>
            </w:r>
            <w:r>
              <w:rPr>
                <w:rFonts w:hint="eastAsia"/>
                <w:color w:val="000000"/>
                <w:szCs w:val="21"/>
                <w:vertAlign w:val="superscript"/>
              </w:rPr>
              <w:t>注</w:t>
            </w:r>
            <w:r>
              <w:rPr>
                <w:rFonts w:eastAsia="等线"/>
                <w:color w:val="000000"/>
                <w:szCs w:val="21"/>
                <w:vertAlign w:val="superscript"/>
              </w:rPr>
              <w:t>4</w:t>
            </w:r>
          </w:p>
        </w:tc>
      </w:tr>
      <w:tr w:rsidR="008810A2" w14:paraId="73771D59" w14:textId="77777777" w:rsidTr="00407C9F">
        <w:trPr>
          <w:trHeight w:val="340"/>
          <w:jc w:val="center"/>
        </w:trPr>
        <w:tc>
          <w:tcPr>
            <w:tcW w:w="4365" w:type="dxa"/>
            <w:tcBorders>
              <w:top w:val="nil"/>
              <w:right w:val="single" w:sz="4" w:space="0" w:color="auto"/>
            </w:tcBorders>
            <w:noWrap/>
            <w:vAlign w:val="center"/>
          </w:tcPr>
          <w:p w14:paraId="196A542D"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合计</w:t>
            </w:r>
          </w:p>
        </w:tc>
        <w:tc>
          <w:tcPr>
            <w:tcW w:w="3912" w:type="dxa"/>
            <w:tcBorders>
              <w:top w:val="nil"/>
              <w:left w:val="single" w:sz="4" w:space="0" w:color="auto"/>
            </w:tcBorders>
            <w:noWrap/>
            <w:vAlign w:val="center"/>
          </w:tcPr>
          <w:p w14:paraId="1F2BEEDB" w14:textId="77777777" w:rsidR="008810A2" w:rsidRDefault="00D921E0">
            <w:pPr>
              <w:spacing w:line="240" w:lineRule="auto"/>
              <w:ind w:rightChars="760" w:right="1596" w:firstLineChars="0" w:firstLine="0"/>
              <w:jc w:val="right"/>
              <w:rPr>
                <w:rFonts w:eastAsiaTheme="minorEastAsia"/>
                <w:color w:val="000000" w:themeColor="text1"/>
                <w:sz w:val="20"/>
                <w:szCs w:val="21"/>
              </w:rPr>
            </w:pPr>
            <w:r>
              <w:rPr>
                <w:rFonts w:eastAsia="等线"/>
                <w:color w:val="000000"/>
                <w:sz w:val="20"/>
                <w:szCs w:val="20"/>
              </w:rPr>
              <w:t>64,435</w:t>
            </w:r>
          </w:p>
        </w:tc>
      </w:tr>
    </w:tbl>
    <w:p w14:paraId="3BADDEB6"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数据来源：</w:t>
      </w:r>
      <w:r>
        <w:rPr>
          <w:rFonts w:cs="宋体" w:hint="eastAsia"/>
          <w:i/>
          <w:iCs/>
          <w:color w:val="000000" w:themeColor="text1"/>
          <w:kern w:val="0"/>
        </w:rPr>
        <w:t>APNIC</w:t>
      </w:r>
      <w:r>
        <w:rPr>
          <w:rFonts w:cs="宋体" w:hint="eastAsia"/>
          <w:i/>
          <w:iCs/>
          <w:color w:val="000000" w:themeColor="text1"/>
          <w:kern w:val="0"/>
        </w:rPr>
        <w:t>、</w:t>
      </w:r>
      <w:r>
        <w:rPr>
          <w:rFonts w:cs="宋体" w:hint="eastAsia"/>
          <w:i/>
          <w:iCs/>
          <w:color w:val="000000" w:themeColor="text1"/>
          <w:kern w:val="0"/>
        </w:rPr>
        <w:t>CNNIC</w:t>
      </w:r>
    </w:p>
    <w:p w14:paraId="1845BDDE"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1</w:t>
      </w:r>
      <w:r>
        <w:rPr>
          <w:rFonts w:cs="宋体" w:hint="eastAsia"/>
          <w:i/>
          <w:iCs/>
          <w:color w:val="000000" w:themeColor="text1"/>
          <w:kern w:val="0"/>
        </w:rPr>
        <w:t>：</w:t>
      </w:r>
      <w:r>
        <w:rPr>
          <w:rFonts w:cs="宋体" w:hint="eastAsia"/>
          <w:i/>
          <w:iCs/>
          <w:color w:val="000000" w:themeColor="text1"/>
          <w:kern w:val="0"/>
        </w:rPr>
        <w:t>IPv6</w:t>
      </w:r>
      <w:r>
        <w:rPr>
          <w:rFonts w:cs="宋体" w:hint="eastAsia"/>
          <w:i/>
          <w:iCs/>
          <w:color w:val="000000" w:themeColor="text1"/>
          <w:kern w:val="0"/>
        </w:rPr>
        <w:t>地址分配表中的</w:t>
      </w:r>
      <w:r>
        <w:rPr>
          <w:rFonts w:cs="宋体" w:hint="eastAsia"/>
          <w:i/>
          <w:iCs/>
          <w:color w:val="000000" w:themeColor="text1"/>
          <w:kern w:val="0"/>
        </w:rPr>
        <w:t>/32</w:t>
      </w:r>
      <w:r>
        <w:rPr>
          <w:rFonts w:cs="宋体" w:hint="eastAsia"/>
          <w:i/>
          <w:iCs/>
          <w:color w:val="000000" w:themeColor="text1"/>
          <w:kern w:val="0"/>
        </w:rPr>
        <w:t>是</w:t>
      </w:r>
      <w:r>
        <w:rPr>
          <w:rFonts w:cs="宋体" w:hint="eastAsia"/>
          <w:i/>
          <w:iCs/>
          <w:color w:val="000000" w:themeColor="text1"/>
          <w:kern w:val="0"/>
        </w:rPr>
        <w:t>IPv6</w:t>
      </w:r>
      <w:r>
        <w:rPr>
          <w:rFonts w:cs="宋体" w:hint="eastAsia"/>
          <w:i/>
          <w:iCs/>
          <w:color w:val="000000" w:themeColor="text1"/>
          <w:kern w:val="0"/>
        </w:rPr>
        <w:t>的地址表示方法，对应的地址数量是</w:t>
      </w:r>
      <w:r>
        <w:rPr>
          <w:rFonts w:cs="宋体" w:hint="eastAsia"/>
          <w:i/>
          <w:iCs/>
          <w:color w:val="000000" w:themeColor="text1"/>
          <w:kern w:val="0"/>
        </w:rPr>
        <w:t>2</w:t>
      </w:r>
      <w:r>
        <w:rPr>
          <w:rFonts w:cs="宋体" w:hint="eastAsia"/>
          <w:i/>
          <w:iCs/>
          <w:color w:val="000000" w:themeColor="text1"/>
          <w:kern w:val="0"/>
          <w:vertAlign w:val="superscript"/>
        </w:rPr>
        <w:t>（</w:t>
      </w:r>
      <w:r>
        <w:rPr>
          <w:rFonts w:cs="宋体" w:hint="eastAsia"/>
          <w:i/>
          <w:iCs/>
          <w:color w:val="000000" w:themeColor="text1"/>
          <w:kern w:val="0"/>
          <w:vertAlign w:val="superscript"/>
        </w:rPr>
        <w:t>128-32</w:t>
      </w:r>
      <w:r>
        <w:rPr>
          <w:rFonts w:cs="宋体" w:hint="eastAsia"/>
          <w:i/>
          <w:iCs/>
          <w:color w:val="000000" w:themeColor="text1"/>
          <w:kern w:val="0"/>
          <w:vertAlign w:val="superscript"/>
        </w:rPr>
        <w:t>）</w:t>
      </w:r>
      <w:r>
        <w:rPr>
          <w:rFonts w:cs="宋体" w:hint="eastAsia"/>
          <w:i/>
          <w:iCs/>
          <w:color w:val="000000" w:themeColor="text1"/>
          <w:kern w:val="0"/>
        </w:rPr>
        <w:t>=2</w:t>
      </w:r>
      <w:r>
        <w:rPr>
          <w:rFonts w:cs="宋体" w:hint="eastAsia"/>
          <w:i/>
          <w:iCs/>
          <w:color w:val="000000" w:themeColor="text1"/>
          <w:kern w:val="0"/>
          <w:vertAlign w:val="superscript"/>
        </w:rPr>
        <w:t>96</w:t>
      </w:r>
      <w:r>
        <w:rPr>
          <w:rFonts w:cs="宋体" w:hint="eastAsia"/>
          <w:i/>
          <w:iCs/>
          <w:color w:val="000000" w:themeColor="text1"/>
          <w:kern w:val="0"/>
        </w:rPr>
        <w:t>个；</w:t>
      </w:r>
    </w:p>
    <w:p w14:paraId="4691A7A5"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2</w:t>
      </w:r>
      <w:r>
        <w:rPr>
          <w:rFonts w:cs="宋体" w:hint="eastAsia"/>
          <w:i/>
          <w:iCs/>
          <w:color w:val="000000" w:themeColor="text1"/>
          <w:kern w:val="0"/>
        </w:rPr>
        <w:t>：</w:t>
      </w:r>
      <w:r>
        <w:rPr>
          <w:i/>
          <w:iCs/>
          <w:color w:val="000000" w:themeColor="text1"/>
        </w:rPr>
        <w:t>目前</w:t>
      </w:r>
      <w:r>
        <w:rPr>
          <w:i/>
          <w:iCs/>
          <w:color w:val="000000" w:themeColor="text1"/>
        </w:rPr>
        <w:t>CNNIC</w:t>
      </w:r>
      <w:r>
        <w:rPr>
          <w:rFonts w:hint="eastAsia"/>
          <w:i/>
          <w:iCs/>
          <w:color w:val="000000" w:themeColor="text1"/>
        </w:rPr>
        <w:t xml:space="preserve"> </w:t>
      </w:r>
      <w:r>
        <w:rPr>
          <w:i/>
          <w:iCs/>
          <w:color w:val="000000" w:themeColor="text1"/>
        </w:rPr>
        <w:t>IP</w:t>
      </w:r>
      <w:r>
        <w:rPr>
          <w:i/>
          <w:iCs/>
          <w:color w:val="000000" w:themeColor="text1"/>
        </w:rPr>
        <w:t>地址分配联盟的</w:t>
      </w:r>
      <w:r>
        <w:rPr>
          <w:i/>
          <w:iCs/>
          <w:color w:val="000000" w:themeColor="text1"/>
        </w:rPr>
        <w:t>IP</w:t>
      </w:r>
      <w:r>
        <w:rPr>
          <w:rFonts w:hint="eastAsia"/>
          <w:i/>
          <w:iCs/>
          <w:color w:val="000000" w:themeColor="text1"/>
        </w:rPr>
        <w:t>v6</w:t>
      </w:r>
      <w:r>
        <w:rPr>
          <w:i/>
          <w:iCs/>
          <w:color w:val="000000" w:themeColor="text1"/>
        </w:rPr>
        <w:t>地址</w:t>
      </w:r>
      <w:r>
        <w:rPr>
          <w:rFonts w:hint="eastAsia"/>
          <w:i/>
          <w:iCs/>
          <w:color w:val="000000" w:themeColor="text1"/>
        </w:rPr>
        <w:t>总</w:t>
      </w:r>
      <w:r>
        <w:rPr>
          <w:i/>
          <w:iCs/>
          <w:color w:val="000000" w:themeColor="text1"/>
        </w:rPr>
        <w:t>持有量</w:t>
      </w:r>
      <w:r>
        <w:rPr>
          <w:i/>
          <w:iCs/>
          <w:color w:val="000000" w:themeColor="text1"/>
        </w:rPr>
        <w:t>28775</w:t>
      </w:r>
      <w:r>
        <w:rPr>
          <w:rFonts w:hint="eastAsia"/>
          <w:i/>
          <w:iCs/>
          <w:color w:val="000000" w:themeColor="text1"/>
        </w:rPr>
        <w:t>块</w:t>
      </w:r>
      <w:r>
        <w:rPr>
          <w:rFonts w:hint="eastAsia"/>
          <w:i/>
          <w:iCs/>
          <w:color w:val="000000" w:themeColor="text1"/>
        </w:rPr>
        <w:t>/32</w:t>
      </w:r>
      <w:r>
        <w:rPr>
          <w:rFonts w:hint="eastAsia"/>
          <w:i/>
          <w:iCs/>
          <w:color w:val="000000" w:themeColor="text1"/>
        </w:rPr>
        <w:t>；上表中所列</w:t>
      </w:r>
      <w:r>
        <w:rPr>
          <w:rFonts w:hint="eastAsia"/>
          <w:i/>
          <w:iCs/>
          <w:color w:val="000000" w:themeColor="text1"/>
        </w:rPr>
        <w:t>IP</w:t>
      </w:r>
      <w:r>
        <w:rPr>
          <w:rFonts w:hint="eastAsia"/>
          <w:i/>
          <w:iCs/>
          <w:color w:val="000000" w:themeColor="text1"/>
        </w:rPr>
        <w:t>地址分配联盟的</w:t>
      </w:r>
      <w:r>
        <w:rPr>
          <w:rFonts w:hint="eastAsia"/>
          <w:i/>
          <w:iCs/>
          <w:color w:val="000000" w:themeColor="text1"/>
        </w:rPr>
        <w:t>IPv6</w:t>
      </w:r>
      <w:r>
        <w:rPr>
          <w:rFonts w:hint="eastAsia"/>
          <w:i/>
          <w:iCs/>
          <w:color w:val="000000" w:themeColor="text1"/>
        </w:rPr>
        <w:t>地址数量不含已分配给</w:t>
      </w:r>
      <w:proofErr w:type="gramStart"/>
      <w:r>
        <w:rPr>
          <w:rFonts w:hint="eastAsia"/>
          <w:i/>
          <w:iCs/>
          <w:color w:val="000000" w:themeColor="text1"/>
        </w:rPr>
        <w:t>中移铁通</w:t>
      </w:r>
      <w:proofErr w:type="gramEnd"/>
      <w:r>
        <w:rPr>
          <w:rFonts w:hint="eastAsia"/>
          <w:i/>
          <w:iCs/>
          <w:color w:val="000000" w:themeColor="text1"/>
        </w:rPr>
        <w:t>有限公司的</w:t>
      </w:r>
      <w:r>
        <w:rPr>
          <w:rFonts w:hint="eastAsia"/>
          <w:i/>
          <w:iCs/>
          <w:color w:val="000000" w:themeColor="text1"/>
        </w:rPr>
        <w:t>IPv6</w:t>
      </w:r>
      <w:r>
        <w:rPr>
          <w:rFonts w:hint="eastAsia"/>
          <w:i/>
          <w:iCs/>
          <w:color w:val="000000" w:themeColor="text1"/>
        </w:rPr>
        <w:t>地址数量</w:t>
      </w:r>
      <w:r>
        <w:rPr>
          <w:rFonts w:cs="宋体" w:hint="eastAsia"/>
          <w:i/>
          <w:iCs/>
          <w:color w:val="000000" w:themeColor="text1"/>
          <w:kern w:val="0"/>
        </w:rPr>
        <w:t>；</w:t>
      </w:r>
    </w:p>
    <w:p w14:paraId="5CD92F0B"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3</w:t>
      </w:r>
      <w:r>
        <w:rPr>
          <w:rFonts w:cs="宋体" w:hint="eastAsia"/>
          <w:i/>
          <w:iCs/>
          <w:color w:val="000000" w:themeColor="text1"/>
          <w:kern w:val="0"/>
        </w:rPr>
        <w:t>：</w:t>
      </w:r>
      <w:proofErr w:type="gramStart"/>
      <w:r>
        <w:rPr>
          <w:rFonts w:cs="宋体" w:hint="eastAsia"/>
          <w:i/>
          <w:iCs/>
          <w:color w:val="000000" w:themeColor="text1"/>
          <w:kern w:val="0"/>
        </w:rPr>
        <w:t>中移铁通</w:t>
      </w:r>
      <w:proofErr w:type="gramEnd"/>
      <w:r>
        <w:rPr>
          <w:rFonts w:cs="宋体" w:hint="eastAsia"/>
          <w:i/>
          <w:iCs/>
          <w:color w:val="000000" w:themeColor="text1"/>
          <w:kern w:val="0"/>
        </w:rPr>
        <w:t>有限公司的</w:t>
      </w:r>
      <w:r>
        <w:rPr>
          <w:rFonts w:cs="宋体" w:hint="eastAsia"/>
          <w:i/>
          <w:iCs/>
          <w:color w:val="000000" w:themeColor="text1"/>
          <w:kern w:val="0"/>
        </w:rPr>
        <w:t>IPv6</w:t>
      </w:r>
      <w:r>
        <w:rPr>
          <w:rFonts w:cs="宋体" w:hint="eastAsia"/>
          <w:i/>
          <w:iCs/>
          <w:color w:val="000000" w:themeColor="text1"/>
          <w:kern w:val="0"/>
        </w:rPr>
        <w:t>地址是经</w:t>
      </w:r>
      <w:r>
        <w:rPr>
          <w:rFonts w:cs="宋体" w:hint="eastAsia"/>
          <w:i/>
          <w:iCs/>
          <w:color w:val="000000" w:themeColor="text1"/>
          <w:kern w:val="0"/>
        </w:rPr>
        <w:t>CNNIC</w:t>
      </w:r>
      <w:r>
        <w:rPr>
          <w:rFonts w:cs="宋体" w:hint="eastAsia"/>
          <w:i/>
          <w:iCs/>
          <w:color w:val="000000" w:themeColor="text1"/>
          <w:kern w:val="0"/>
        </w:rPr>
        <w:t>分配；</w:t>
      </w:r>
    </w:p>
    <w:p w14:paraId="12EEAB7D" w14:textId="77777777" w:rsidR="008810A2" w:rsidRDefault="00D921E0">
      <w:pPr>
        <w:spacing w:line="240" w:lineRule="auto"/>
        <w:ind w:firstLineChars="0" w:firstLine="0"/>
        <w:rPr>
          <w:rFonts w:cs="宋体"/>
          <w:i/>
          <w:iCs/>
          <w:color w:val="000000" w:themeColor="text1"/>
          <w:kern w:val="0"/>
        </w:rPr>
      </w:pPr>
      <w:r>
        <w:rPr>
          <w:rFonts w:cs="宋体" w:hint="eastAsia"/>
          <w:i/>
          <w:color w:val="000000" w:themeColor="text1"/>
        </w:rPr>
        <w:t>注</w:t>
      </w:r>
      <w:r>
        <w:rPr>
          <w:rFonts w:cs="宋体" w:hint="eastAsia"/>
          <w:i/>
          <w:color w:val="000000" w:themeColor="text1"/>
        </w:rPr>
        <w:t>4</w:t>
      </w:r>
      <w:r>
        <w:rPr>
          <w:rFonts w:cs="宋体" w:hint="eastAsia"/>
          <w:i/>
          <w:color w:val="000000" w:themeColor="text1"/>
        </w:rPr>
        <w:t>：其他是指</w:t>
      </w:r>
      <w:r>
        <w:rPr>
          <w:rFonts w:cs="宋体"/>
          <w:i/>
          <w:color w:val="000000" w:themeColor="text1"/>
        </w:rPr>
        <w:t>直接从</w:t>
      </w:r>
      <w:r>
        <w:rPr>
          <w:rFonts w:hAnsi="宋体" w:cs="宋体" w:hint="eastAsia"/>
          <w:i/>
          <w:iCs/>
          <w:color w:val="000000" w:themeColor="text1"/>
          <w:kern w:val="0"/>
        </w:rPr>
        <w:t>亚太互联网络信息中心（</w:t>
      </w:r>
      <w:r>
        <w:rPr>
          <w:i/>
          <w:iCs/>
          <w:color w:val="000000" w:themeColor="text1"/>
          <w:kern w:val="0"/>
        </w:rPr>
        <w:t>APNIC</w:t>
      </w:r>
      <w:r>
        <w:rPr>
          <w:i/>
          <w:iCs/>
          <w:color w:val="000000" w:themeColor="text1"/>
          <w:kern w:val="0"/>
        </w:rPr>
        <w:t>）</w:t>
      </w:r>
      <w:r>
        <w:rPr>
          <w:rFonts w:hint="eastAsia"/>
          <w:i/>
          <w:iCs/>
          <w:color w:val="000000" w:themeColor="text1"/>
          <w:kern w:val="0"/>
        </w:rPr>
        <w:t>申请</w:t>
      </w:r>
      <w:r>
        <w:rPr>
          <w:rFonts w:hint="eastAsia"/>
          <w:i/>
          <w:iCs/>
          <w:color w:val="000000" w:themeColor="text1"/>
          <w:kern w:val="0"/>
        </w:rPr>
        <w:t>IP</w:t>
      </w:r>
      <w:r>
        <w:rPr>
          <w:i/>
          <w:iCs/>
          <w:color w:val="000000" w:themeColor="text1"/>
          <w:kern w:val="0"/>
        </w:rPr>
        <w:t>v6</w:t>
      </w:r>
      <w:r>
        <w:rPr>
          <w:rFonts w:hint="eastAsia"/>
          <w:i/>
          <w:iCs/>
          <w:color w:val="000000" w:themeColor="text1"/>
          <w:kern w:val="0"/>
        </w:rPr>
        <w:t>地址的</w:t>
      </w:r>
      <w:r>
        <w:rPr>
          <w:i/>
          <w:iCs/>
          <w:color w:val="000000" w:themeColor="text1"/>
          <w:kern w:val="0"/>
        </w:rPr>
        <w:t>企事业单位</w:t>
      </w:r>
      <w:r>
        <w:rPr>
          <w:rFonts w:hint="eastAsia"/>
          <w:i/>
          <w:iCs/>
          <w:color w:val="000000" w:themeColor="text1"/>
          <w:kern w:val="0"/>
        </w:rPr>
        <w:t>；</w:t>
      </w:r>
    </w:p>
    <w:p w14:paraId="6935A2DD"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i/>
          <w:iCs/>
          <w:color w:val="000000" w:themeColor="text1"/>
          <w:kern w:val="0"/>
        </w:rPr>
        <w:t>5</w:t>
      </w:r>
      <w:r>
        <w:rPr>
          <w:rFonts w:cs="宋体" w:hint="eastAsia"/>
          <w:i/>
          <w:iCs/>
          <w:color w:val="000000" w:themeColor="text1"/>
          <w:kern w:val="0"/>
        </w:rPr>
        <w:t>：以上数据统计截止日期为</w:t>
      </w:r>
      <w:r>
        <w:rPr>
          <w:rFonts w:cs="宋体" w:hint="eastAsia"/>
          <w:i/>
          <w:iCs/>
          <w:color w:val="000000" w:themeColor="text1"/>
          <w:kern w:val="0"/>
        </w:rPr>
        <w:t>2024</w:t>
      </w:r>
      <w:r>
        <w:rPr>
          <w:rFonts w:cs="宋体" w:hint="eastAsia"/>
          <w:i/>
          <w:iCs/>
          <w:color w:val="000000" w:themeColor="text1"/>
          <w:kern w:val="0"/>
        </w:rPr>
        <w:t>年</w:t>
      </w:r>
      <w:r>
        <w:rPr>
          <w:rFonts w:cs="宋体" w:hint="eastAsia"/>
          <w:i/>
          <w:iCs/>
          <w:color w:val="000000" w:themeColor="text1"/>
          <w:kern w:val="0"/>
        </w:rPr>
        <w:t>6</w:t>
      </w:r>
      <w:r>
        <w:rPr>
          <w:rFonts w:cs="宋体" w:hint="eastAsia"/>
          <w:i/>
          <w:iCs/>
          <w:color w:val="000000" w:themeColor="text1"/>
          <w:kern w:val="0"/>
        </w:rPr>
        <w:t>月</w:t>
      </w:r>
      <w:r>
        <w:rPr>
          <w:rFonts w:cs="宋体" w:hint="eastAsia"/>
          <w:i/>
          <w:iCs/>
          <w:color w:val="000000" w:themeColor="text1"/>
          <w:kern w:val="0"/>
        </w:rPr>
        <w:t>30</w:t>
      </w:r>
      <w:r>
        <w:rPr>
          <w:rFonts w:cs="宋体" w:hint="eastAsia"/>
          <w:i/>
          <w:iCs/>
          <w:color w:val="000000" w:themeColor="text1"/>
          <w:kern w:val="0"/>
        </w:rPr>
        <w:t>日。</w:t>
      </w:r>
    </w:p>
    <w:p w14:paraId="49B5EAED" w14:textId="77777777" w:rsidR="008810A2" w:rsidRDefault="008810A2">
      <w:pPr>
        <w:spacing w:line="240" w:lineRule="auto"/>
        <w:ind w:firstLineChars="0" w:firstLine="0"/>
        <w:rPr>
          <w:rFonts w:cs="宋体"/>
          <w:i/>
          <w:iCs/>
          <w:color w:val="000000" w:themeColor="text1"/>
          <w:kern w:val="0"/>
        </w:rPr>
      </w:pPr>
    </w:p>
    <w:p w14:paraId="63025C7D" w14:textId="77777777" w:rsidR="008810A2" w:rsidRDefault="00D921E0">
      <w:pPr>
        <w:spacing w:line="240" w:lineRule="auto"/>
        <w:ind w:firstLineChars="0" w:firstLine="0"/>
        <w:rPr>
          <w:rFonts w:cs="宋体"/>
          <w:i/>
          <w:iCs/>
          <w:color w:val="000000" w:themeColor="text1"/>
          <w:kern w:val="0"/>
        </w:rPr>
      </w:pPr>
      <w:r>
        <w:rPr>
          <w:b/>
          <w:color w:val="000000" w:themeColor="text1"/>
        </w:rPr>
        <w:br w:type="page"/>
      </w:r>
    </w:p>
    <w:p w14:paraId="6CA311CE" w14:textId="1B83AB6D" w:rsidR="008810A2" w:rsidRDefault="00D921E0" w:rsidP="002B0D05">
      <w:pPr>
        <w:pStyle w:val="a4"/>
        <w:rPr>
          <w:shd w:val="clear" w:color="auto" w:fill="FFFFFF" w:themeFill="background1"/>
        </w:rPr>
      </w:pPr>
      <w:r>
        <w:rPr>
          <w:rFonts w:hint="eastAsia"/>
          <w:shd w:val="clear" w:color="auto" w:fill="FFFFFF" w:themeFill="background1"/>
        </w:rPr>
        <w:lastRenderedPageBreak/>
        <w:t>附表</w:t>
      </w:r>
      <w:r>
        <w:rPr>
          <w:shd w:val="clear" w:color="auto" w:fill="FFFFFF" w:themeFill="background1"/>
        </w:rPr>
        <w:t xml:space="preserve"> </w:t>
      </w:r>
      <w:r>
        <w:rPr>
          <w:shd w:val="clear" w:color="auto" w:fill="FFFFFF" w:themeFill="background1"/>
        </w:rPr>
        <w:fldChar w:fldCharType="begin"/>
      </w:r>
      <w:r>
        <w:rPr>
          <w:shd w:val="clear" w:color="auto" w:fill="FFFFFF" w:themeFill="background1"/>
        </w:rPr>
        <w:instrText xml:space="preserve"> SEQ </w:instrText>
      </w:r>
      <w:r>
        <w:rPr>
          <w:shd w:val="clear" w:color="auto" w:fill="FFFFFF" w:themeFill="background1"/>
        </w:rPr>
        <w:instrText>附表</w:instrText>
      </w:r>
      <w:r>
        <w:rPr>
          <w:shd w:val="clear" w:color="auto" w:fill="FFFFFF" w:themeFill="background1"/>
        </w:rPr>
        <w:instrText xml:space="preserve"> \* ARABIC </w:instrText>
      </w:r>
      <w:r>
        <w:rPr>
          <w:shd w:val="clear" w:color="auto" w:fill="FFFFFF" w:themeFill="background1"/>
        </w:rPr>
        <w:fldChar w:fldCharType="separate"/>
      </w:r>
      <w:r w:rsidR="00A057C8">
        <w:rPr>
          <w:noProof/>
          <w:shd w:val="clear" w:color="auto" w:fill="FFFFFF" w:themeFill="background1"/>
        </w:rPr>
        <w:t>5</w:t>
      </w:r>
      <w:r>
        <w:rPr>
          <w:shd w:val="clear" w:color="auto" w:fill="FFFFFF" w:themeFill="background1"/>
        </w:rPr>
        <w:fldChar w:fldCharType="end"/>
      </w:r>
      <w:r>
        <w:rPr>
          <w:shd w:val="clear" w:color="auto" w:fill="FFFFFF" w:themeFill="background1"/>
        </w:rPr>
        <w:t xml:space="preserve">  </w:t>
      </w:r>
      <w:r>
        <w:rPr>
          <w:rFonts w:hint="eastAsia"/>
          <w:shd w:val="clear" w:color="auto" w:fill="FFFFFF" w:themeFill="background1"/>
        </w:rPr>
        <w:t>分地区</w:t>
      </w:r>
      <w:r>
        <w:rPr>
          <w:shd w:val="clear" w:color="auto" w:fill="FFFFFF" w:themeFill="background1"/>
        </w:rPr>
        <w:t>IPv4</w:t>
      </w:r>
      <w:r>
        <w:rPr>
          <w:rFonts w:hint="eastAsia"/>
          <w:shd w:val="clear" w:color="auto" w:fill="FFFFFF" w:themeFill="background1"/>
        </w:rPr>
        <w:t>比例</w:t>
      </w:r>
    </w:p>
    <w:tbl>
      <w:tblPr>
        <w:tblW w:w="8164"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95"/>
        <w:gridCol w:w="3969"/>
      </w:tblGrid>
      <w:tr w:rsidR="008810A2" w14:paraId="2EFA5E89" w14:textId="77777777">
        <w:trPr>
          <w:trHeight w:val="340"/>
        </w:trPr>
        <w:tc>
          <w:tcPr>
            <w:tcW w:w="4195" w:type="dxa"/>
            <w:tcBorders>
              <w:top w:val="single" w:sz="4" w:space="0" w:color="auto"/>
              <w:right w:val="single" w:sz="4" w:space="0" w:color="auto"/>
            </w:tcBorders>
            <w:vAlign w:val="center"/>
          </w:tcPr>
          <w:p w14:paraId="46EF0957"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省份</w:t>
            </w:r>
          </w:p>
        </w:tc>
        <w:tc>
          <w:tcPr>
            <w:tcW w:w="3969" w:type="dxa"/>
            <w:tcBorders>
              <w:top w:val="single" w:sz="4" w:space="0" w:color="auto"/>
              <w:left w:val="single" w:sz="4" w:space="0" w:color="auto"/>
              <w:bottom w:val="single" w:sz="4" w:space="0" w:color="auto"/>
            </w:tcBorders>
            <w:vAlign w:val="center"/>
          </w:tcPr>
          <w:p w14:paraId="5B463209"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比例</w:t>
            </w:r>
          </w:p>
        </w:tc>
      </w:tr>
      <w:tr w:rsidR="008810A2" w14:paraId="268CE100" w14:textId="77777777">
        <w:trPr>
          <w:trHeight w:val="285"/>
        </w:trPr>
        <w:tc>
          <w:tcPr>
            <w:tcW w:w="4195" w:type="dxa"/>
            <w:tcBorders>
              <w:bottom w:val="nil"/>
              <w:right w:val="single" w:sz="4" w:space="0" w:color="auto"/>
            </w:tcBorders>
            <w:noWrap/>
            <w:vAlign w:val="center"/>
          </w:tcPr>
          <w:p w14:paraId="56096A6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北京</w:t>
            </w:r>
          </w:p>
        </w:tc>
        <w:tc>
          <w:tcPr>
            <w:tcW w:w="3969" w:type="dxa"/>
            <w:tcBorders>
              <w:top w:val="single" w:sz="4" w:space="0" w:color="auto"/>
              <w:left w:val="single" w:sz="4" w:space="0" w:color="auto"/>
              <w:bottom w:val="nil"/>
            </w:tcBorders>
            <w:noWrap/>
            <w:vAlign w:val="center"/>
          </w:tcPr>
          <w:p w14:paraId="42432FC8"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25.19%</w:t>
            </w:r>
          </w:p>
        </w:tc>
      </w:tr>
      <w:tr w:rsidR="008810A2" w14:paraId="000322EB" w14:textId="77777777">
        <w:trPr>
          <w:trHeight w:val="285"/>
        </w:trPr>
        <w:tc>
          <w:tcPr>
            <w:tcW w:w="4195" w:type="dxa"/>
            <w:tcBorders>
              <w:top w:val="nil"/>
              <w:bottom w:val="nil"/>
              <w:right w:val="single" w:sz="4" w:space="0" w:color="auto"/>
            </w:tcBorders>
            <w:noWrap/>
            <w:vAlign w:val="center"/>
          </w:tcPr>
          <w:p w14:paraId="05A0929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广东</w:t>
            </w:r>
          </w:p>
        </w:tc>
        <w:tc>
          <w:tcPr>
            <w:tcW w:w="3969" w:type="dxa"/>
            <w:tcBorders>
              <w:top w:val="nil"/>
              <w:left w:val="single" w:sz="4" w:space="0" w:color="auto"/>
              <w:bottom w:val="nil"/>
            </w:tcBorders>
            <w:noWrap/>
            <w:vAlign w:val="center"/>
          </w:tcPr>
          <w:p w14:paraId="7C23AF25"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9.43%</w:t>
            </w:r>
          </w:p>
        </w:tc>
      </w:tr>
      <w:tr w:rsidR="008810A2" w14:paraId="002AA635" w14:textId="77777777">
        <w:trPr>
          <w:trHeight w:val="285"/>
        </w:trPr>
        <w:tc>
          <w:tcPr>
            <w:tcW w:w="4195" w:type="dxa"/>
            <w:tcBorders>
              <w:top w:val="nil"/>
              <w:bottom w:val="nil"/>
              <w:right w:val="single" w:sz="4" w:space="0" w:color="auto"/>
            </w:tcBorders>
            <w:noWrap/>
            <w:vAlign w:val="center"/>
          </w:tcPr>
          <w:p w14:paraId="135F4A3F"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浙江</w:t>
            </w:r>
          </w:p>
        </w:tc>
        <w:tc>
          <w:tcPr>
            <w:tcW w:w="3969" w:type="dxa"/>
            <w:tcBorders>
              <w:top w:val="nil"/>
              <w:left w:val="single" w:sz="4" w:space="0" w:color="auto"/>
              <w:bottom w:val="nil"/>
            </w:tcBorders>
            <w:noWrap/>
            <w:vAlign w:val="center"/>
          </w:tcPr>
          <w:p w14:paraId="49B00132"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6.39%</w:t>
            </w:r>
          </w:p>
        </w:tc>
      </w:tr>
      <w:tr w:rsidR="008810A2" w14:paraId="6DBB8616" w14:textId="77777777">
        <w:trPr>
          <w:trHeight w:val="285"/>
        </w:trPr>
        <w:tc>
          <w:tcPr>
            <w:tcW w:w="4195" w:type="dxa"/>
            <w:tcBorders>
              <w:top w:val="nil"/>
              <w:bottom w:val="nil"/>
              <w:right w:val="single" w:sz="4" w:space="0" w:color="auto"/>
            </w:tcBorders>
            <w:noWrap/>
            <w:vAlign w:val="center"/>
          </w:tcPr>
          <w:p w14:paraId="7F37028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山东</w:t>
            </w:r>
          </w:p>
        </w:tc>
        <w:tc>
          <w:tcPr>
            <w:tcW w:w="3969" w:type="dxa"/>
            <w:tcBorders>
              <w:top w:val="nil"/>
              <w:left w:val="single" w:sz="4" w:space="0" w:color="auto"/>
              <w:bottom w:val="nil"/>
            </w:tcBorders>
            <w:noWrap/>
            <w:vAlign w:val="center"/>
          </w:tcPr>
          <w:p w14:paraId="7C694651"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4.83%</w:t>
            </w:r>
          </w:p>
        </w:tc>
      </w:tr>
      <w:tr w:rsidR="008810A2" w14:paraId="0AB0E649" w14:textId="77777777">
        <w:trPr>
          <w:trHeight w:val="285"/>
        </w:trPr>
        <w:tc>
          <w:tcPr>
            <w:tcW w:w="4195" w:type="dxa"/>
            <w:tcBorders>
              <w:top w:val="nil"/>
              <w:bottom w:val="nil"/>
              <w:right w:val="single" w:sz="4" w:space="0" w:color="auto"/>
            </w:tcBorders>
            <w:noWrap/>
            <w:vAlign w:val="center"/>
          </w:tcPr>
          <w:p w14:paraId="4E13F32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江苏</w:t>
            </w:r>
          </w:p>
        </w:tc>
        <w:tc>
          <w:tcPr>
            <w:tcW w:w="3969" w:type="dxa"/>
            <w:tcBorders>
              <w:top w:val="nil"/>
              <w:left w:val="single" w:sz="4" w:space="0" w:color="auto"/>
              <w:bottom w:val="nil"/>
            </w:tcBorders>
            <w:noWrap/>
            <w:vAlign w:val="center"/>
          </w:tcPr>
          <w:p w14:paraId="6E63EE11"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4.70%</w:t>
            </w:r>
          </w:p>
        </w:tc>
      </w:tr>
      <w:tr w:rsidR="008810A2" w14:paraId="02A79376" w14:textId="77777777">
        <w:trPr>
          <w:trHeight w:val="285"/>
        </w:trPr>
        <w:tc>
          <w:tcPr>
            <w:tcW w:w="4195" w:type="dxa"/>
            <w:tcBorders>
              <w:top w:val="nil"/>
              <w:bottom w:val="nil"/>
              <w:right w:val="single" w:sz="4" w:space="0" w:color="auto"/>
            </w:tcBorders>
            <w:noWrap/>
            <w:vAlign w:val="center"/>
          </w:tcPr>
          <w:p w14:paraId="3F7F256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上海</w:t>
            </w:r>
          </w:p>
        </w:tc>
        <w:tc>
          <w:tcPr>
            <w:tcW w:w="3969" w:type="dxa"/>
            <w:tcBorders>
              <w:top w:val="nil"/>
              <w:left w:val="single" w:sz="4" w:space="0" w:color="auto"/>
              <w:bottom w:val="nil"/>
            </w:tcBorders>
            <w:noWrap/>
            <w:vAlign w:val="center"/>
          </w:tcPr>
          <w:p w14:paraId="0BCAEB0A"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4.47%</w:t>
            </w:r>
          </w:p>
        </w:tc>
      </w:tr>
      <w:tr w:rsidR="008810A2" w14:paraId="460AB0CD" w14:textId="77777777">
        <w:trPr>
          <w:trHeight w:val="285"/>
        </w:trPr>
        <w:tc>
          <w:tcPr>
            <w:tcW w:w="4195" w:type="dxa"/>
            <w:tcBorders>
              <w:top w:val="nil"/>
              <w:bottom w:val="nil"/>
              <w:right w:val="single" w:sz="4" w:space="0" w:color="auto"/>
            </w:tcBorders>
            <w:noWrap/>
            <w:vAlign w:val="center"/>
          </w:tcPr>
          <w:p w14:paraId="71D0CB8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辽宁</w:t>
            </w:r>
          </w:p>
        </w:tc>
        <w:tc>
          <w:tcPr>
            <w:tcW w:w="3969" w:type="dxa"/>
            <w:tcBorders>
              <w:top w:val="nil"/>
              <w:left w:val="single" w:sz="4" w:space="0" w:color="auto"/>
              <w:bottom w:val="nil"/>
            </w:tcBorders>
            <w:noWrap/>
            <w:vAlign w:val="center"/>
          </w:tcPr>
          <w:p w14:paraId="721C62E4"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3.29%</w:t>
            </w:r>
          </w:p>
        </w:tc>
      </w:tr>
      <w:tr w:rsidR="008810A2" w14:paraId="57B327E6" w14:textId="77777777">
        <w:trPr>
          <w:trHeight w:val="285"/>
        </w:trPr>
        <w:tc>
          <w:tcPr>
            <w:tcW w:w="4195" w:type="dxa"/>
            <w:tcBorders>
              <w:top w:val="nil"/>
              <w:bottom w:val="nil"/>
              <w:right w:val="single" w:sz="4" w:space="0" w:color="auto"/>
            </w:tcBorders>
            <w:noWrap/>
            <w:vAlign w:val="center"/>
          </w:tcPr>
          <w:p w14:paraId="232D789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河北</w:t>
            </w:r>
          </w:p>
        </w:tc>
        <w:tc>
          <w:tcPr>
            <w:tcW w:w="3969" w:type="dxa"/>
            <w:tcBorders>
              <w:top w:val="nil"/>
              <w:left w:val="single" w:sz="4" w:space="0" w:color="auto"/>
              <w:bottom w:val="nil"/>
            </w:tcBorders>
            <w:noWrap/>
            <w:vAlign w:val="center"/>
          </w:tcPr>
          <w:p w14:paraId="2277598D"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2.81%</w:t>
            </w:r>
          </w:p>
        </w:tc>
      </w:tr>
      <w:tr w:rsidR="008810A2" w14:paraId="78A25F3A" w14:textId="77777777">
        <w:trPr>
          <w:trHeight w:val="285"/>
        </w:trPr>
        <w:tc>
          <w:tcPr>
            <w:tcW w:w="4195" w:type="dxa"/>
            <w:tcBorders>
              <w:top w:val="nil"/>
              <w:bottom w:val="nil"/>
              <w:right w:val="single" w:sz="4" w:space="0" w:color="auto"/>
            </w:tcBorders>
            <w:noWrap/>
            <w:vAlign w:val="center"/>
          </w:tcPr>
          <w:p w14:paraId="0F0E8CC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四川</w:t>
            </w:r>
          </w:p>
        </w:tc>
        <w:tc>
          <w:tcPr>
            <w:tcW w:w="3969" w:type="dxa"/>
            <w:tcBorders>
              <w:top w:val="nil"/>
              <w:left w:val="single" w:sz="4" w:space="0" w:color="auto"/>
              <w:bottom w:val="nil"/>
            </w:tcBorders>
            <w:noWrap/>
            <w:vAlign w:val="center"/>
          </w:tcPr>
          <w:p w14:paraId="3C3C840B"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2.74%</w:t>
            </w:r>
          </w:p>
        </w:tc>
      </w:tr>
      <w:tr w:rsidR="008810A2" w14:paraId="124366E5" w14:textId="77777777">
        <w:trPr>
          <w:trHeight w:val="285"/>
        </w:trPr>
        <w:tc>
          <w:tcPr>
            <w:tcW w:w="4195" w:type="dxa"/>
            <w:tcBorders>
              <w:top w:val="nil"/>
              <w:bottom w:val="nil"/>
              <w:right w:val="single" w:sz="4" w:space="0" w:color="auto"/>
            </w:tcBorders>
            <w:noWrap/>
            <w:vAlign w:val="center"/>
          </w:tcPr>
          <w:p w14:paraId="082C2DF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河南</w:t>
            </w:r>
          </w:p>
        </w:tc>
        <w:tc>
          <w:tcPr>
            <w:tcW w:w="3969" w:type="dxa"/>
            <w:tcBorders>
              <w:top w:val="nil"/>
              <w:left w:val="single" w:sz="4" w:space="0" w:color="auto"/>
              <w:bottom w:val="nil"/>
            </w:tcBorders>
            <w:noWrap/>
            <w:vAlign w:val="center"/>
          </w:tcPr>
          <w:p w14:paraId="21ECBE0B"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2.60%</w:t>
            </w:r>
          </w:p>
        </w:tc>
      </w:tr>
      <w:tr w:rsidR="008810A2" w14:paraId="7752A509" w14:textId="77777777">
        <w:trPr>
          <w:trHeight w:val="285"/>
        </w:trPr>
        <w:tc>
          <w:tcPr>
            <w:tcW w:w="4195" w:type="dxa"/>
            <w:tcBorders>
              <w:top w:val="nil"/>
              <w:bottom w:val="nil"/>
              <w:right w:val="single" w:sz="4" w:space="0" w:color="auto"/>
            </w:tcBorders>
            <w:noWrap/>
            <w:vAlign w:val="center"/>
          </w:tcPr>
          <w:p w14:paraId="3ECF09D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湖北</w:t>
            </w:r>
          </w:p>
        </w:tc>
        <w:tc>
          <w:tcPr>
            <w:tcW w:w="3969" w:type="dxa"/>
            <w:tcBorders>
              <w:top w:val="nil"/>
              <w:left w:val="single" w:sz="4" w:space="0" w:color="auto"/>
              <w:bottom w:val="nil"/>
            </w:tcBorders>
            <w:noWrap/>
            <w:vAlign w:val="center"/>
          </w:tcPr>
          <w:p w14:paraId="27B8CB0E"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2.37%</w:t>
            </w:r>
          </w:p>
        </w:tc>
      </w:tr>
      <w:tr w:rsidR="008810A2" w14:paraId="50E2BA18" w14:textId="77777777">
        <w:trPr>
          <w:trHeight w:val="285"/>
        </w:trPr>
        <w:tc>
          <w:tcPr>
            <w:tcW w:w="4195" w:type="dxa"/>
            <w:tcBorders>
              <w:top w:val="nil"/>
              <w:bottom w:val="nil"/>
              <w:right w:val="single" w:sz="4" w:space="0" w:color="auto"/>
            </w:tcBorders>
            <w:noWrap/>
            <w:vAlign w:val="center"/>
          </w:tcPr>
          <w:p w14:paraId="3892390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湖南</w:t>
            </w:r>
          </w:p>
        </w:tc>
        <w:tc>
          <w:tcPr>
            <w:tcW w:w="3969" w:type="dxa"/>
            <w:tcBorders>
              <w:top w:val="nil"/>
              <w:left w:val="single" w:sz="4" w:space="0" w:color="auto"/>
              <w:bottom w:val="nil"/>
            </w:tcBorders>
            <w:noWrap/>
            <w:vAlign w:val="center"/>
          </w:tcPr>
          <w:p w14:paraId="5CA213E9"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2.33%</w:t>
            </w:r>
          </w:p>
        </w:tc>
      </w:tr>
      <w:tr w:rsidR="008810A2" w14:paraId="2AE88C90" w14:textId="77777777">
        <w:trPr>
          <w:trHeight w:val="285"/>
        </w:trPr>
        <w:tc>
          <w:tcPr>
            <w:tcW w:w="4195" w:type="dxa"/>
            <w:tcBorders>
              <w:top w:val="nil"/>
              <w:bottom w:val="nil"/>
              <w:right w:val="single" w:sz="4" w:space="0" w:color="auto"/>
            </w:tcBorders>
            <w:noWrap/>
            <w:vAlign w:val="center"/>
          </w:tcPr>
          <w:p w14:paraId="250A0C8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福建</w:t>
            </w:r>
          </w:p>
        </w:tc>
        <w:tc>
          <w:tcPr>
            <w:tcW w:w="3969" w:type="dxa"/>
            <w:tcBorders>
              <w:top w:val="nil"/>
              <w:left w:val="single" w:sz="4" w:space="0" w:color="auto"/>
              <w:bottom w:val="nil"/>
            </w:tcBorders>
            <w:noWrap/>
            <w:vAlign w:val="center"/>
          </w:tcPr>
          <w:p w14:paraId="0D8E65EA"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1.92%</w:t>
            </w:r>
          </w:p>
        </w:tc>
      </w:tr>
      <w:tr w:rsidR="008810A2" w14:paraId="6584E579" w14:textId="77777777">
        <w:trPr>
          <w:trHeight w:val="285"/>
        </w:trPr>
        <w:tc>
          <w:tcPr>
            <w:tcW w:w="4195" w:type="dxa"/>
            <w:tcBorders>
              <w:top w:val="nil"/>
              <w:bottom w:val="nil"/>
              <w:right w:val="single" w:sz="4" w:space="0" w:color="auto"/>
            </w:tcBorders>
            <w:noWrap/>
            <w:vAlign w:val="center"/>
          </w:tcPr>
          <w:p w14:paraId="36653FE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江西</w:t>
            </w:r>
          </w:p>
        </w:tc>
        <w:tc>
          <w:tcPr>
            <w:tcW w:w="3969" w:type="dxa"/>
            <w:tcBorders>
              <w:top w:val="nil"/>
              <w:left w:val="single" w:sz="4" w:space="0" w:color="auto"/>
              <w:bottom w:val="nil"/>
            </w:tcBorders>
            <w:noWrap/>
            <w:vAlign w:val="center"/>
          </w:tcPr>
          <w:p w14:paraId="6550BD8E"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1.71%</w:t>
            </w:r>
          </w:p>
        </w:tc>
      </w:tr>
      <w:tr w:rsidR="008810A2" w14:paraId="2A5E70EE" w14:textId="77777777">
        <w:trPr>
          <w:trHeight w:val="285"/>
        </w:trPr>
        <w:tc>
          <w:tcPr>
            <w:tcW w:w="4195" w:type="dxa"/>
            <w:tcBorders>
              <w:top w:val="nil"/>
              <w:bottom w:val="nil"/>
              <w:right w:val="single" w:sz="4" w:space="0" w:color="auto"/>
            </w:tcBorders>
            <w:noWrap/>
            <w:vAlign w:val="center"/>
          </w:tcPr>
          <w:p w14:paraId="36643A9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重庆</w:t>
            </w:r>
          </w:p>
        </w:tc>
        <w:tc>
          <w:tcPr>
            <w:tcW w:w="3969" w:type="dxa"/>
            <w:tcBorders>
              <w:top w:val="nil"/>
              <w:left w:val="single" w:sz="4" w:space="0" w:color="auto"/>
              <w:bottom w:val="nil"/>
            </w:tcBorders>
            <w:noWrap/>
            <w:vAlign w:val="center"/>
          </w:tcPr>
          <w:p w14:paraId="3E2847FC"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1.66%</w:t>
            </w:r>
          </w:p>
        </w:tc>
      </w:tr>
      <w:tr w:rsidR="008810A2" w14:paraId="112754A7" w14:textId="77777777">
        <w:trPr>
          <w:trHeight w:val="285"/>
        </w:trPr>
        <w:tc>
          <w:tcPr>
            <w:tcW w:w="4195" w:type="dxa"/>
            <w:tcBorders>
              <w:top w:val="nil"/>
              <w:bottom w:val="nil"/>
              <w:right w:val="single" w:sz="4" w:space="0" w:color="auto"/>
            </w:tcBorders>
            <w:noWrap/>
            <w:vAlign w:val="center"/>
          </w:tcPr>
          <w:p w14:paraId="041F20E6"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安徽</w:t>
            </w:r>
          </w:p>
        </w:tc>
        <w:tc>
          <w:tcPr>
            <w:tcW w:w="3969" w:type="dxa"/>
            <w:tcBorders>
              <w:top w:val="nil"/>
              <w:left w:val="single" w:sz="4" w:space="0" w:color="auto"/>
              <w:bottom w:val="nil"/>
            </w:tcBorders>
            <w:noWrap/>
            <w:vAlign w:val="center"/>
          </w:tcPr>
          <w:p w14:paraId="393DC124"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1.63%</w:t>
            </w:r>
          </w:p>
        </w:tc>
      </w:tr>
      <w:tr w:rsidR="008810A2" w14:paraId="72883B85" w14:textId="77777777">
        <w:trPr>
          <w:trHeight w:val="285"/>
        </w:trPr>
        <w:tc>
          <w:tcPr>
            <w:tcW w:w="4195" w:type="dxa"/>
            <w:tcBorders>
              <w:top w:val="nil"/>
              <w:bottom w:val="nil"/>
              <w:right w:val="single" w:sz="4" w:space="0" w:color="auto"/>
            </w:tcBorders>
            <w:noWrap/>
            <w:vAlign w:val="center"/>
          </w:tcPr>
          <w:p w14:paraId="2CE7449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陕西</w:t>
            </w:r>
          </w:p>
        </w:tc>
        <w:tc>
          <w:tcPr>
            <w:tcW w:w="3969" w:type="dxa"/>
            <w:tcBorders>
              <w:top w:val="nil"/>
              <w:left w:val="single" w:sz="4" w:space="0" w:color="auto"/>
              <w:bottom w:val="nil"/>
            </w:tcBorders>
            <w:noWrap/>
            <w:vAlign w:val="center"/>
          </w:tcPr>
          <w:p w14:paraId="3F3F17FE"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1.61%</w:t>
            </w:r>
          </w:p>
        </w:tc>
      </w:tr>
      <w:tr w:rsidR="008810A2" w14:paraId="3599E308" w14:textId="77777777">
        <w:trPr>
          <w:trHeight w:val="285"/>
        </w:trPr>
        <w:tc>
          <w:tcPr>
            <w:tcW w:w="4195" w:type="dxa"/>
            <w:tcBorders>
              <w:top w:val="nil"/>
              <w:bottom w:val="nil"/>
              <w:right w:val="single" w:sz="4" w:space="0" w:color="auto"/>
            </w:tcBorders>
            <w:noWrap/>
            <w:vAlign w:val="center"/>
          </w:tcPr>
          <w:p w14:paraId="6F604BC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广西</w:t>
            </w:r>
          </w:p>
        </w:tc>
        <w:tc>
          <w:tcPr>
            <w:tcW w:w="3969" w:type="dxa"/>
            <w:tcBorders>
              <w:top w:val="nil"/>
              <w:left w:val="single" w:sz="4" w:space="0" w:color="auto"/>
              <w:bottom w:val="nil"/>
            </w:tcBorders>
            <w:noWrap/>
            <w:vAlign w:val="center"/>
          </w:tcPr>
          <w:p w14:paraId="5C4747C9"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1.36%</w:t>
            </w:r>
          </w:p>
        </w:tc>
      </w:tr>
      <w:tr w:rsidR="008810A2" w14:paraId="1D884353" w14:textId="77777777">
        <w:trPr>
          <w:trHeight w:val="285"/>
        </w:trPr>
        <w:tc>
          <w:tcPr>
            <w:tcW w:w="4195" w:type="dxa"/>
            <w:tcBorders>
              <w:top w:val="nil"/>
              <w:bottom w:val="nil"/>
              <w:right w:val="single" w:sz="4" w:space="0" w:color="auto"/>
            </w:tcBorders>
            <w:noWrap/>
            <w:vAlign w:val="center"/>
          </w:tcPr>
          <w:p w14:paraId="6BA76AC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山西</w:t>
            </w:r>
          </w:p>
        </w:tc>
        <w:tc>
          <w:tcPr>
            <w:tcW w:w="3969" w:type="dxa"/>
            <w:tcBorders>
              <w:top w:val="nil"/>
              <w:left w:val="single" w:sz="4" w:space="0" w:color="auto"/>
              <w:bottom w:val="nil"/>
            </w:tcBorders>
            <w:noWrap/>
            <w:vAlign w:val="center"/>
          </w:tcPr>
          <w:p w14:paraId="10B8D321"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1.26%</w:t>
            </w:r>
          </w:p>
        </w:tc>
      </w:tr>
      <w:tr w:rsidR="008810A2" w14:paraId="6D4A792F" w14:textId="77777777">
        <w:trPr>
          <w:trHeight w:val="285"/>
        </w:trPr>
        <w:tc>
          <w:tcPr>
            <w:tcW w:w="4195" w:type="dxa"/>
            <w:tcBorders>
              <w:top w:val="nil"/>
              <w:bottom w:val="nil"/>
              <w:right w:val="single" w:sz="4" w:space="0" w:color="auto"/>
            </w:tcBorders>
            <w:noWrap/>
            <w:vAlign w:val="center"/>
          </w:tcPr>
          <w:p w14:paraId="0F8B92AF"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吉林</w:t>
            </w:r>
          </w:p>
        </w:tc>
        <w:tc>
          <w:tcPr>
            <w:tcW w:w="3969" w:type="dxa"/>
            <w:tcBorders>
              <w:top w:val="nil"/>
              <w:left w:val="single" w:sz="4" w:space="0" w:color="auto"/>
              <w:bottom w:val="nil"/>
            </w:tcBorders>
            <w:noWrap/>
            <w:vAlign w:val="center"/>
          </w:tcPr>
          <w:p w14:paraId="7886FAA5"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1.20%</w:t>
            </w:r>
          </w:p>
        </w:tc>
      </w:tr>
      <w:tr w:rsidR="008810A2" w14:paraId="0EC250AE" w14:textId="77777777">
        <w:trPr>
          <w:trHeight w:val="285"/>
        </w:trPr>
        <w:tc>
          <w:tcPr>
            <w:tcW w:w="4195" w:type="dxa"/>
            <w:tcBorders>
              <w:top w:val="nil"/>
              <w:bottom w:val="nil"/>
              <w:right w:val="single" w:sz="4" w:space="0" w:color="auto"/>
            </w:tcBorders>
            <w:noWrap/>
            <w:vAlign w:val="center"/>
          </w:tcPr>
          <w:p w14:paraId="5D17F9F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黑龙江</w:t>
            </w:r>
          </w:p>
        </w:tc>
        <w:tc>
          <w:tcPr>
            <w:tcW w:w="3969" w:type="dxa"/>
            <w:tcBorders>
              <w:top w:val="nil"/>
              <w:left w:val="single" w:sz="4" w:space="0" w:color="auto"/>
              <w:bottom w:val="nil"/>
            </w:tcBorders>
            <w:noWrap/>
            <w:vAlign w:val="center"/>
          </w:tcPr>
          <w:p w14:paraId="7BDE0066"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1.19%</w:t>
            </w:r>
          </w:p>
        </w:tc>
      </w:tr>
      <w:tr w:rsidR="008810A2" w14:paraId="05AA11C0" w14:textId="77777777">
        <w:trPr>
          <w:trHeight w:val="285"/>
        </w:trPr>
        <w:tc>
          <w:tcPr>
            <w:tcW w:w="4195" w:type="dxa"/>
            <w:tcBorders>
              <w:top w:val="nil"/>
              <w:bottom w:val="nil"/>
              <w:right w:val="single" w:sz="4" w:space="0" w:color="auto"/>
            </w:tcBorders>
            <w:noWrap/>
            <w:vAlign w:val="center"/>
          </w:tcPr>
          <w:p w14:paraId="4F9DCDFF"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天津</w:t>
            </w:r>
          </w:p>
        </w:tc>
        <w:tc>
          <w:tcPr>
            <w:tcW w:w="3969" w:type="dxa"/>
            <w:tcBorders>
              <w:top w:val="nil"/>
              <w:left w:val="single" w:sz="4" w:space="0" w:color="auto"/>
              <w:bottom w:val="nil"/>
            </w:tcBorders>
            <w:noWrap/>
            <w:vAlign w:val="center"/>
          </w:tcPr>
          <w:p w14:paraId="73F47E9C"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1.04%</w:t>
            </w:r>
          </w:p>
        </w:tc>
      </w:tr>
      <w:tr w:rsidR="008810A2" w14:paraId="37B50EB0" w14:textId="77777777">
        <w:trPr>
          <w:trHeight w:val="285"/>
        </w:trPr>
        <w:tc>
          <w:tcPr>
            <w:tcW w:w="4195" w:type="dxa"/>
            <w:tcBorders>
              <w:top w:val="nil"/>
              <w:bottom w:val="nil"/>
              <w:right w:val="single" w:sz="4" w:space="0" w:color="auto"/>
            </w:tcBorders>
            <w:noWrap/>
            <w:vAlign w:val="center"/>
          </w:tcPr>
          <w:p w14:paraId="6877959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云南</w:t>
            </w:r>
          </w:p>
        </w:tc>
        <w:tc>
          <w:tcPr>
            <w:tcW w:w="3969" w:type="dxa"/>
            <w:tcBorders>
              <w:top w:val="nil"/>
              <w:left w:val="single" w:sz="4" w:space="0" w:color="auto"/>
              <w:bottom w:val="nil"/>
            </w:tcBorders>
            <w:noWrap/>
            <w:vAlign w:val="center"/>
          </w:tcPr>
          <w:p w14:paraId="4EB2AD74"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0.96%</w:t>
            </w:r>
          </w:p>
        </w:tc>
      </w:tr>
      <w:tr w:rsidR="008810A2" w14:paraId="5EF16B78" w14:textId="77777777">
        <w:trPr>
          <w:trHeight w:val="285"/>
        </w:trPr>
        <w:tc>
          <w:tcPr>
            <w:tcW w:w="4195" w:type="dxa"/>
            <w:tcBorders>
              <w:top w:val="nil"/>
              <w:bottom w:val="nil"/>
              <w:right w:val="single" w:sz="4" w:space="0" w:color="auto"/>
            </w:tcBorders>
            <w:noWrap/>
            <w:vAlign w:val="center"/>
          </w:tcPr>
          <w:p w14:paraId="38013DB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内蒙古</w:t>
            </w:r>
          </w:p>
        </w:tc>
        <w:tc>
          <w:tcPr>
            <w:tcW w:w="3969" w:type="dxa"/>
            <w:tcBorders>
              <w:top w:val="nil"/>
              <w:left w:val="single" w:sz="4" w:space="0" w:color="auto"/>
              <w:bottom w:val="nil"/>
            </w:tcBorders>
            <w:noWrap/>
            <w:vAlign w:val="center"/>
          </w:tcPr>
          <w:p w14:paraId="22A99622"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0.77%</w:t>
            </w:r>
          </w:p>
        </w:tc>
      </w:tr>
      <w:tr w:rsidR="008810A2" w14:paraId="4525F7EF" w14:textId="77777777">
        <w:trPr>
          <w:trHeight w:val="285"/>
        </w:trPr>
        <w:tc>
          <w:tcPr>
            <w:tcW w:w="4195" w:type="dxa"/>
            <w:tcBorders>
              <w:top w:val="nil"/>
              <w:bottom w:val="nil"/>
              <w:right w:val="single" w:sz="4" w:space="0" w:color="auto"/>
            </w:tcBorders>
            <w:noWrap/>
            <w:vAlign w:val="center"/>
          </w:tcPr>
          <w:p w14:paraId="6EB4C19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新疆</w:t>
            </w:r>
          </w:p>
        </w:tc>
        <w:tc>
          <w:tcPr>
            <w:tcW w:w="3969" w:type="dxa"/>
            <w:tcBorders>
              <w:top w:val="nil"/>
              <w:left w:val="single" w:sz="4" w:space="0" w:color="auto"/>
              <w:bottom w:val="nil"/>
            </w:tcBorders>
            <w:noWrap/>
            <w:vAlign w:val="center"/>
          </w:tcPr>
          <w:p w14:paraId="2774C13D"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0.60%</w:t>
            </w:r>
          </w:p>
        </w:tc>
      </w:tr>
      <w:tr w:rsidR="008810A2" w14:paraId="2E8123B5" w14:textId="77777777">
        <w:trPr>
          <w:trHeight w:val="285"/>
        </w:trPr>
        <w:tc>
          <w:tcPr>
            <w:tcW w:w="4195" w:type="dxa"/>
            <w:tcBorders>
              <w:top w:val="nil"/>
              <w:bottom w:val="nil"/>
              <w:right w:val="single" w:sz="4" w:space="0" w:color="auto"/>
            </w:tcBorders>
            <w:noWrap/>
            <w:vAlign w:val="center"/>
          </w:tcPr>
          <w:p w14:paraId="5CA55D3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甘肃</w:t>
            </w:r>
          </w:p>
        </w:tc>
        <w:tc>
          <w:tcPr>
            <w:tcW w:w="3969" w:type="dxa"/>
            <w:tcBorders>
              <w:top w:val="nil"/>
              <w:left w:val="single" w:sz="4" w:space="0" w:color="auto"/>
              <w:bottom w:val="nil"/>
            </w:tcBorders>
            <w:noWrap/>
            <w:vAlign w:val="center"/>
          </w:tcPr>
          <w:p w14:paraId="4EF52B0B"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0.47%</w:t>
            </w:r>
          </w:p>
        </w:tc>
      </w:tr>
      <w:tr w:rsidR="008810A2" w14:paraId="678C62F5" w14:textId="77777777">
        <w:trPr>
          <w:trHeight w:val="285"/>
        </w:trPr>
        <w:tc>
          <w:tcPr>
            <w:tcW w:w="4195" w:type="dxa"/>
            <w:tcBorders>
              <w:top w:val="nil"/>
              <w:bottom w:val="nil"/>
              <w:right w:val="single" w:sz="4" w:space="0" w:color="auto"/>
            </w:tcBorders>
            <w:noWrap/>
            <w:vAlign w:val="center"/>
          </w:tcPr>
          <w:p w14:paraId="2B43A10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海南</w:t>
            </w:r>
          </w:p>
        </w:tc>
        <w:tc>
          <w:tcPr>
            <w:tcW w:w="3969" w:type="dxa"/>
            <w:tcBorders>
              <w:top w:val="nil"/>
              <w:left w:val="single" w:sz="4" w:space="0" w:color="auto"/>
              <w:bottom w:val="nil"/>
            </w:tcBorders>
            <w:noWrap/>
            <w:vAlign w:val="center"/>
          </w:tcPr>
          <w:p w14:paraId="5C84A3CA"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0.47%</w:t>
            </w:r>
          </w:p>
        </w:tc>
      </w:tr>
      <w:tr w:rsidR="008810A2" w14:paraId="6CEFB52E" w14:textId="77777777">
        <w:trPr>
          <w:trHeight w:val="285"/>
        </w:trPr>
        <w:tc>
          <w:tcPr>
            <w:tcW w:w="4195" w:type="dxa"/>
            <w:tcBorders>
              <w:top w:val="nil"/>
              <w:bottom w:val="nil"/>
              <w:right w:val="single" w:sz="4" w:space="0" w:color="auto"/>
            </w:tcBorders>
            <w:noWrap/>
            <w:vAlign w:val="center"/>
          </w:tcPr>
          <w:p w14:paraId="0FBD4466"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贵州</w:t>
            </w:r>
          </w:p>
        </w:tc>
        <w:tc>
          <w:tcPr>
            <w:tcW w:w="3969" w:type="dxa"/>
            <w:tcBorders>
              <w:top w:val="nil"/>
              <w:left w:val="single" w:sz="4" w:space="0" w:color="auto"/>
              <w:bottom w:val="nil"/>
            </w:tcBorders>
            <w:noWrap/>
            <w:vAlign w:val="center"/>
          </w:tcPr>
          <w:p w14:paraId="6AF5A60A"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0.44%</w:t>
            </w:r>
          </w:p>
        </w:tc>
      </w:tr>
      <w:tr w:rsidR="008810A2" w14:paraId="1E8A11B9" w14:textId="77777777">
        <w:trPr>
          <w:trHeight w:val="285"/>
        </w:trPr>
        <w:tc>
          <w:tcPr>
            <w:tcW w:w="4195" w:type="dxa"/>
            <w:tcBorders>
              <w:top w:val="nil"/>
              <w:bottom w:val="nil"/>
              <w:right w:val="single" w:sz="4" w:space="0" w:color="auto"/>
            </w:tcBorders>
            <w:noWrap/>
            <w:vAlign w:val="center"/>
          </w:tcPr>
          <w:p w14:paraId="4306A71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宁夏</w:t>
            </w:r>
          </w:p>
        </w:tc>
        <w:tc>
          <w:tcPr>
            <w:tcW w:w="3969" w:type="dxa"/>
            <w:tcBorders>
              <w:top w:val="nil"/>
              <w:left w:val="single" w:sz="4" w:space="0" w:color="auto"/>
              <w:bottom w:val="nil"/>
            </w:tcBorders>
            <w:noWrap/>
            <w:vAlign w:val="center"/>
          </w:tcPr>
          <w:p w14:paraId="7145D1AF"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0.27%</w:t>
            </w:r>
          </w:p>
        </w:tc>
      </w:tr>
      <w:tr w:rsidR="008810A2" w14:paraId="64F9404A" w14:textId="77777777">
        <w:trPr>
          <w:trHeight w:val="285"/>
        </w:trPr>
        <w:tc>
          <w:tcPr>
            <w:tcW w:w="4195" w:type="dxa"/>
            <w:tcBorders>
              <w:top w:val="nil"/>
              <w:bottom w:val="nil"/>
              <w:right w:val="single" w:sz="4" w:space="0" w:color="auto"/>
            </w:tcBorders>
            <w:noWrap/>
            <w:vAlign w:val="center"/>
          </w:tcPr>
          <w:p w14:paraId="31D6B67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青海</w:t>
            </w:r>
          </w:p>
        </w:tc>
        <w:tc>
          <w:tcPr>
            <w:tcW w:w="3969" w:type="dxa"/>
            <w:tcBorders>
              <w:top w:val="nil"/>
              <w:left w:val="single" w:sz="4" w:space="0" w:color="auto"/>
              <w:bottom w:val="nil"/>
            </w:tcBorders>
            <w:noWrap/>
            <w:vAlign w:val="center"/>
          </w:tcPr>
          <w:p w14:paraId="15226E96"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0.17%</w:t>
            </w:r>
          </w:p>
        </w:tc>
      </w:tr>
      <w:tr w:rsidR="008810A2" w14:paraId="173B1C18" w14:textId="77777777">
        <w:trPr>
          <w:trHeight w:val="285"/>
        </w:trPr>
        <w:tc>
          <w:tcPr>
            <w:tcW w:w="4195" w:type="dxa"/>
            <w:tcBorders>
              <w:top w:val="nil"/>
              <w:bottom w:val="nil"/>
              <w:right w:val="single" w:sz="4" w:space="0" w:color="auto"/>
            </w:tcBorders>
            <w:noWrap/>
            <w:vAlign w:val="center"/>
          </w:tcPr>
          <w:p w14:paraId="492441E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西藏</w:t>
            </w:r>
          </w:p>
        </w:tc>
        <w:tc>
          <w:tcPr>
            <w:tcW w:w="3969" w:type="dxa"/>
            <w:tcBorders>
              <w:top w:val="nil"/>
              <w:left w:val="single" w:sz="4" w:space="0" w:color="auto"/>
              <w:bottom w:val="nil"/>
            </w:tcBorders>
            <w:noWrap/>
            <w:vAlign w:val="center"/>
          </w:tcPr>
          <w:p w14:paraId="0F003D44"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0.13%</w:t>
            </w:r>
          </w:p>
        </w:tc>
      </w:tr>
      <w:tr w:rsidR="008810A2" w14:paraId="01DCC5DA" w14:textId="77777777">
        <w:trPr>
          <w:trHeight w:val="285"/>
        </w:trPr>
        <w:tc>
          <w:tcPr>
            <w:tcW w:w="4195" w:type="dxa"/>
            <w:tcBorders>
              <w:top w:val="nil"/>
              <w:bottom w:val="nil"/>
              <w:right w:val="single" w:sz="4" w:space="0" w:color="auto"/>
            </w:tcBorders>
            <w:noWrap/>
            <w:vAlign w:val="center"/>
          </w:tcPr>
          <w:p w14:paraId="51B175A5" w14:textId="77777777" w:rsidR="008810A2" w:rsidRDefault="00D921E0">
            <w:pPr>
              <w:spacing w:line="240" w:lineRule="auto"/>
              <w:ind w:firstLineChars="0" w:firstLine="0"/>
              <w:jc w:val="center"/>
              <w:rPr>
                <w:rFonts w:eastAsiaTheme="minorEastAsia"/>
                <w:color w:val="000000"/>
                <w:sz w:val="20"/>
                <w:szCs w:val="20"/>
              </w:rPr>
            </w:pPr>
            <w:r>
              <w:rPr>
                <w:rFonts w:hint="eastAsia"/>
                <w:color w:val="000000"/>
                <w:sz w:val="20"/>
                <w:szCs w:val="20"/>
              </w:rPr>
              <w:t>其他</w:t>
            </w:r>
          </w:p>
        </w:tc>
        <w:tc>
          <w:tcPr>
            <w:tcW w:w="3969" w:type="dxa"/>
            <w:tcBorders>
              <w:top w:val="nil"/>
              <w:left w:val="single" w:sz="4" w:space="0" w:color="auto"/>
              <w:bottom w:val="nil"/>
            </w:tcBorders>
            <w:noWrap/>
            <w:vAlign w:val="center"/>
          </w:tcPr>
          <w:p w14:paraId="1FFB2C3C" w14:textId="77777777" w:rsidR="008810A2" w:rsidRDefault="00D921E0">
            <w:pPr>
              <w:spacing w:line="240" w:lineRule="auto"/>
              <w:ind w:firstLineChars="0" w:firstLine="0"/>
              <w:jc w:val="center"/>
              <w:rPr>
                <w:rFonts w:eastAsiaTheme="minorEastAsia"/>
                <w:color w:val="000000"/>
                <w:sz w:val="20"/>
                <w:szCs w:val="20"/>
              </w:rPr>
            </w:pPr>
            <w:r>
              <w:rPr>
                <w:rFonts w:eastAsia="等线"/>
                <w:color w:val="000000"/>
                <w:sz w:val="20"/>
                <w:szCs w:val="20"/>
              </w:rPr>
              <w:t>10.00%</w:t>
            </w:r>
          </w:p>
        </w:tc>
      </w:tr>
      <w:tr w:rsidR="008810A2" w14:paraId="1954277B" w14:textId="77777777">
        <w:trPr>
          <w:trHeight w:val="285"/>
        </w:trPr>
        <w:tc>
          <w:tcPr>
            <w:tcW w:w="4195" w:type="dxa"/>
            <w:tcBorders>
              <w:top w:val="nil"/>
              <w:right w:val="single" w:sz="4" w:space="0" w:color="auto"/>
            </w:tcBorders>
            <w:noWrap/>
            <w:vAlign w:val="center"/>
          </w:tcPr>
          <w:p w14:paraId="0D9EFDB0"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合计</w:t>
            </w:r>
          </w:p>
        </w:tc>
        <w:tc>
          <w:tcPr>
            <w:tcW w:w="3969" w:type="dxa"/>
            <w:tcBorders>
              <w:top w:val="nil"/>
              <w:left w:val="single" w:sz="4" w:space="0" w:color="auto"/>
            </w:tcBorders>
            <w:noWrap/>
            <w:vAlign w:val="center"/>
          </w:tcPr>
          <w:p w14:paraId="2776F2FA"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100.00%</w:t>
            </w:r>
          </w:p>
        </w:tc>
      </w:tr>
    </w:tbl>
    <w:p w14:paraId="4C7B582C" w14:textId="77777777" w:rsidR="008810A2" w:rsidRDefault="00D921E0">
      <w:pPr>
        <w:widowControl/>
        <w:spacing w:line="240" w:lineRule="auto"/>
        <w:ind w:firstLineChars="0" w:firstLine="0"/>
        <w:jc w:val="left"/>
        <w:rPr>
          <w:rFonts w:cs="宋体"/>
          <w:i/>
          <w:iCs/>
          <w:color w:val="000000" w:themeColor="text1"/>
          <w:kern w:val="0"/>
        </w:rPr>
      </w:pPr>
      <w:r>
        <w:rPr>
          <w:rFonts w:cs="宋体" w:hint="eastAsia"/>
          <w:i/>
          <w:iCs/>
          <w:color w:val="000000" w:themeColor="text1"/>
          <w:kern w:val="0"/>
        </w:rPr>
        <w:t>数据来源：</w:t>
      </w:r>
      <w:r>
        <w:rPr>
          <w:rFonts w:cs="宋体" w:hint="eastAsia"/>
          <w:i/>
          <w:iCs/>
          <w:color w:val="000000" w:themeColor="text1"/>
          <w:kern w:val="0"/>
        </w:rPr>
        <w:t>APNIC</w:t>
      </w:r>
      <w:r>
        <w:rPr>
          <w:rFonts w:cs="宋体" w:hint="eastAsia"/>
          <w:i/>
          <w:iCs/>
          <w:color w:val="000000" w:themeColor="text1"/>
          <w:kern w:val="0"/>
        </w:rPr>
        <w:t>、</w:t>
      </w:r>
      <w:r>
        <w:rPr>
          <w:rFonts w:cs="宋体" w:hint="eastAsia"/>
          <w:i/>
          <w:iCs/>
          <w:color w:val="000000" w:themeColor="text1"/>
          <w:kern w:val="0"/>
        </w:rPr>
        <w:t>CNNIC</w:t>
      </w:r>
    </w:p>
    <w:p w14:paraId="32F27C8E" w14:textId="77777777" w:rsidR="008810A2" w:rsidRDefault="00D921E0">
      <w:pPr>
        <w:widowControl/>
        <w:spacing w:line="240" w:lineRule="auto"/>
        <w:ind w:firstLineChars="0" w:firstLine="0"/>
        <w:jc w:val="left"/>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1</w:t>
      </w:r>
      <w:r>
        <w:rPr>
          <w:rFonts w:cs="宋体" w:hint="eastAsia"/>
          <w:i/>
          <w:iCs/>
          <w:color w:val="000000" w:themeColor="text1"/>
          <w:kern w:val="0"/>
        </w:rPr>
        <w:t>：以上统计的是</w:t>
      </w:r>
      <w:r>
        <w:rPr>
          <w:rFonts w:cs="宋体" w:hint="eastAsia"/>
          <w:i/>
          <w:iCs/>
          <w:color w:val="000000" w:themeColor="text1"/>
          <w:kern w:val="0"/>
        </w:rPr>
        <w:t>IP</w:t>
      </w:r>
      <w:r>
        <w:rPr>
          <w:rFonts w:cs="宋体" w:hint="eastAsia"/>
          <w:i/>
          <w:iCs/>
          <w:color w:val="000000" w:themeColor="text1"/>
          <w:kern w:val="0"/>
        </w:rPr>
        <w:t>地址持有者所在省份；</w:t>
      </w:r>
    </w:p>
    <w:p w14:paraId="1BA134FF" w14:textId="77777777" w:rsidR="008810A2" w:rsidRDefault="00D921E0">
      <w:pPr>
        <w:widowControl/>
        <w:spacing w:line="240" w:lineRule="auto"/>
        <w:ind w:firstLineChars="0" w:firstLine="0"/>
        <w:jc w:val="left"/>
        <w:rPr>
          <w:rFonts w:cs="宋体"/>
          <w:i/>
          <w:iCs/>
          <w:color w:val="000000" w:themeColor="text1"/>
          <w:kern w:val="0"/>
        </w:rPr>
      </w:pPr>
      <w:r>
        <w:rPr>
          <w:rFonts w:cs="宋体" w:hint="eastAsia"/>
          <w:i/>
          <w:color w:val="000000" w:themeColor="text1"/>
        </w:rPr>
        <w:t>注</w:t>
      </w:r>
      <w:r>
        <w:rPr>
          <w:rFonts w:cs="宋体"/>
          <w:i/>
          <w:color w:val="000000" w:themeColor="text1"/>
        </w:rPr>
        <w:t>2</w:t>
      </w:r>
      <w:r>
        <w:rPr>
          <w:rFonts w:cs="宋体" w:hint="eastAsia"/>
          <w:i/>
          <w:color w:val="000000" w:themeColor="text1"/>
        </w:rPr>
        <w:t>：其他是指中国内地（大陆）</w:t>
      </w:r>
      <w:r>
        <w:rPr>
          <w:rFonts w:cs="宋体"/>
          <w:i/>
          <w:color w:val="000000" w:themeColor="text1"/>
        </w:rPr>
        <w:t>以外的</w:t>
      </w:r>
      <w:r>
        <w:rPr>
          <w:rFonts w:cs="宋体" w:hint="eastAsia"/>
          <w:i/>
          <w:color w:val="000000" w:themeColor="text1"/>
        </w:rPr>
        <w:t>国家</w:t>
      </w:r>
      <w:r>
        <w:rPr>
          <w:rFonts w:cs="宋体"/>
          <w:i/>
          <w:color w:val="000000" w:themeColor="text1"/>
        </w:rPr>
        <w:t>或者地区</w:t>
      </w:r>
      <w:r>
        <w:rPr>
          <w:rFonts w:cs="宋体" w:hint="eastAsia"/>
          <w:i/>
          <w:color w:val="000000" w:themeColor="text1"/>
        </w:rPr>
        <w:t>；</w:t>
      </w:r>
    </w:p>
    <w:p w14:paraId="127AD336" w14:textId="77777777" w:rsidR="008810A2" w:rsidRDefault="00D921E0">
      <w:pPr>
        <w:widowControl/>
        <w:spacing w:line="240" w:lineRule="auto"/>
        <w:ind w:firstLineChars="0" w:firstLine="0"/>
        <w:jc w:val="left"/>
        <w:rPr>
          <w:rFonts w:cs="宋体"/>
          <w:i/>
          <w:iCs/>
          <w:color w:val="000000" w:themeColor="text1"/>
          <w:kern w:val="0"/>
        </w:rPr>
      </w:pPr>
      <w:r>
        <w:rPr>
          <w:rFonts w:cs="宋体" w:hint="eastAsia"/>
          <w:i/>
          <w:iCs/>
          <w:color w:val="000000" w:themeColor="text1"/>
          <w:kern w:val="0"/>
        </w:rPr>
        <w:t>注</w:t>
      </w:r>
      <w:r>
        <w:rPr>
          <w:rFonts w:cs="宋体"/>
          <w:i/>
          <w:iCs/>
          <w:color w:val="000000" w:themeColor="text1"/>
          <w:kern w:val="0"/>
        </w:rPr>
        <w:t>3</w:t>
      </w:r>
      <w:r>
        <w:rPr>
          <w:rFonts w:cs="宋体" w:hint="eastAsia"/>
          <w:i/>
          <w:iCs/>
          <w:color w:val="000000" w:themeColor="text1"/>
          <w:kern w:val="0"/>
        </w:rPr>
        <w:t>：以上数据统计截止日期为</w:t>
      </w:r>
      <w:r>
        <w:rPr>
          <w:rFonts w:cs="宋体" w:hint="eastAsia"/>
          <w:i/>
          <w:iCs/>
          <w:color w:val="000000" w:themeColor="text1"/>
          <w:kern w:val="0"/>
        </w:rPr>
        <w:t>202</w:t>
      </w:r>
      <w:r>
        <w:rPr>
          <w:rFonts w:cs="宋体"/>
          <w:i/>
          <w:iCs/>
          <w:color w:val="000000" w:themeColor="text1"/>
          <w:kern w:val="0"/>
        </w:rPr>
        <w:t>4</w:t>
      </w:r>
      <w:r>
        <w:rPr>
          <w:rFonts w:cs="宋体" w:hint="eastAsia"/>
          <w:i/>
          <w:iCs/>
          <w:color w:val="000000" w:themeColor="text1"/>
          <w:kern w:val="0"/>
        </w:rPr>
        <w:t>年</w:t>
      </w:r>
      <w:r>
        <w:rPr>
          <w:rFonts w:cs="宋体"/>
          <w:i/>
          <w:iCs/>
          <w:color w:val="000000" w:themeColor="text1"/>
          <w:kern w:val="0"/>
        </w:rPr>
        <w:t>6</w:t>
      </w:r>
      <w:r>
        <w:rPr>
          <w:rFonts w:cs="宋体" w:hint="eastAsia"/>
          <w:i/>
          <w:iCs/>
          <w:color w:val="000000" w:themeColor="text1"/>
          <w:kern w:val="0"/>
        </w:rPr>
        <w:t>月</w:t>
      </w:r>
      <w:r>
        <w:rPr>
          <w:rFonts w:cs="宋体" w:hint="eastAsia"/>
          <w:i/>
          <w:iCs/>
          <w:color w:val="000000" w:themeColor="text1"/>
          <w:kern w:val="0"/>
        </w:rPr>
        <w:t>3</w:t>
      </w:r>
      <w:r>
        <w:rPr>
          <w:rFonts w:cs="宋体"/>
          <w:i/>
          <w:iCs/>
          <w:color w:val="000000" w:themeColor="text1"/>
          <w:kern w:val="0"/>
        </w:rPr>
        <w:t>0</w:t>
      </w:r>
      <w:r>
        <w:rPr>
          <w:rFonts w:cs="宋体" w:hint="eastAsia"/>
          <w:i/>
          <w:iCs/>
          <w:color w:val="000000" w:themeColor="text1"/>
          <w:kern w:val="0"/>
        </w:rPr>
        <w:t>日。</w:t>
      </w:r>
    </w:p>
    <w:p w14:paraId="0D05776B" w14:textId="77777777" w:rsidR="008810A2" w:rsidRDefault="008810A2">
      <w:pPr>
        <w:widowControl/>
        <w:spacing w:line="240" w:lineRule="auto"/>
        <w:ind w:firstLineChars="0" w:firstLine="0"/>
        <w:jc w:val="left"/>
        <w:rPr>
          <w:rFonts w:cs="宋体"/>
          <w:i/>
          <w:iCs/>
          <w:color w:val="000000" w:themeColor="text1"/>
          <w:kern w:val="0"/>
        </w:rPr>
      </w:pPr>
    </w:p>
    <w:p w14:paraId="25C2EB36" w14:textId="77777777" w:rsidR="008810A2" w:rsidRDefault="00D921E0">
      <w:pPr>
        <w:widowControl/>
        <w:spacing w:line="240" w:lineRule="auto"/>
        <w:ind w:firstLineChars="0" w:firstLine="0"/>
        <w:jc w:val="left"/>
        <w:rPr>
          <w:rFonts w:cs="宋体"/>
          <w:i/>
          <w:color w:val="000000" w:themeColor="text1"/>
        </w:rPr>
      </w:pPr>
      <w:r>
        <w:rPr>
          <w:rFonts w:cs="宋体"/>
          <w:i/>
          <w:color w:val="000000" w:themeColor="text1"/>
        </w:rPr>
        <w:br w:type="page"/>
      </w:r>
    </w:p>
    <w:p w14:paraId="41C637F4" w14:textId="3DAA83B2" w:rsidR="008810A2" w:rsidRDefault="00D921E0" w:rsidP="002B0D05">
      <w:pPr>
        <w:pStyle w:val="a4"/>
      </w:pPr>
      <w:r>
        <w:lastRenderedPageBreak/>
        <w:t>附表</w:t>
      </w:r>
      <w:r>
        <w:t xml:space="preserve"> </w:t>
      </w:r>
      <w:r>
        <w:fldChar w:fldCharType="begin"/>
      </w:r>
      <w:r>
        <w:instrText xml:space="preserve"> SEQ </w:instrText>
      </w:r>
      <w:r>
        <w:instrText>附表</w:instrText>
      </w:r>
      <w:r>
        <w:instrText xml:space="preserve"> \* ARABIC </w:instrText>
      </w:r>
      <w:r>
        <w:fldChar w:fldCharType="separate"/>
      </w:r>
      <w:r w:rsidR="00A057C8">
        <w:rPr>
          <w:noProof/>
        </w:rPr>
        <w:t>6</w:t>
      </w:r>
      <w:r>
        <w:fldChar w:fldCharType="end"/>
      </w:r>
      <w:r>
        <w:t xml:space="preserve">  </w:t>
      </w:r>
      <w:r>
        <w:t>分地区域名数</w:t>
      </w:r>
    </w:p>
    <w:tbl>
      <w:tblPr>
        <w:tblW w:w="8505" w:type="dxa"/>
        <w:jc w:val="center"/>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88"/>
        <w:gridCol w:w="1479"/>
        <w:gridCol w:w="2830"/>
        <w:gridCol w:w="3008"/>
      </w:tblGrid>
      <w:tr w:rsidR="008810A2" w14:paraId="2B7DBAB3" w14:textId="77777777">
        <w:trPr>
          <w:trHeight w:val="654"/>
          <w:jc w:val="center"/>
        </w:trPr>
        <w:tc>
          <w:tcPr>
            <w:tcW w:w="0" w:type="auto"/>
            <w:vMerge w:val="restart"/>
            <w:tcBorders>
              <w:top w:val="single" w:sz="4" w:space="0" w:color="auto"/>
              <w:left w:val="nil"/>
              <w:right w:val="single" w:sz="4" w:space="0" w:color="auto"/>
            </w:tcBorders>
            <w:noWrap/>
            <w:vAlign w:val="center"/>
          </w:tcPr>
          <w:p w14:paraId="6C5D7477"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省份</w:t>
            </w:r>
          </w:p>
        </w:tc>
        <w:tc>
          <w:tcPr>
            <w:tcW w:w="0" w:type="auto"/>
            <w:tcBorders>
              <w:top w:val="single" w:sz="4" w:space="0" w:color="auto"/>
              <w:left w:val="single" w:sz="4" w:space="0" w:color="auto"/>
              <w:bottom w:val="single" w:sz="4" w:space="0" w:color="auto"/>
              <w:right w:val="single" w:sz="4" w:space="0" w:color="auto"/>
            </w:tcBorders>
            <w:noWrap/>
            <w:vAlign w:val="center"/>
          </w:tcPr>
          <w:p w14:paraId="5849D77D"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域名</w:t>
            </w:r>
          </w:p>
        </w:tc>
        <w:tc>
          <w:tcPr>
            <w:tcW w:w="0" w:type="auto"/>
            <w:tcBorders>
              <w:top w:val="single" w:sz="4" w:space="0" w:color="auto"/>
              <w:left w:val="single" w:sz="4" w:space="0" w:color="auto"/>
              <w:bottom w:val="single" w:sz="4" w:space="0" w:color="auto"/>
              <w:right w:val="single" w:sz="4" w:space="0" w:color="auto"/>
            </w:tcBorders>
            <w:vAlign w:val="center"/>
          </w:tcPr>
          <w:p w14:paraId="23DCC3BC"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其中：</w:t>
            </w:r>
            <w:r>
              <w:rPr>
                <w:rFonts w:ascii="宋体" w:hAnsi="宋体"/>
                <w:bCs/>
                <w:color w:val="000000" w:themeColor="text1"/>
                <w:kern w:val="0"/>
                <w:sz w:val="20"/>
                <w:szCs w:val="20"/>
              </w:rPr>
              <w:t>“</w:t>
            </w:r>
            <w:r>
              <w:rPr>
                <w:rFonts w:eastAsiaTheme="minorEastAsia"/>
                <w:bCs/>
                <w:color w:val="000000" w:themeColor="text1"/>
                <w:kern w:val="0"/>
                <w:sz w:val="20"/>
                <w:szCs w:val="20"/>
              </w:rPr>
              <w:t>.CN</w:t>
            </w:r>
            <w:r>
              <w:rPr>
                <w:rFonts w:ascii="宋体" w:hAnsi="宋体"/>
                <w:bCs/>
                <w:color w:val="000000" w:themeColor="text1"/>
                <w:kern w:val="0"/>
                <w:sz w:val="20"/>
                <w:szCs w:val="20"/>
              </w:rPr>
              <w:t>”</w:t>
            </w:r>
            <w:r>
              <w:rPr>
                <w:rFonts w:eastAsiaTheme="minorEastAsia"/>
                <w:bCs/>
                <w:color w:val="000000" w:themeColor="text1"/>
                <w:kern w:val="0"/>
                <w:sz w:val="20"/>
                <w:szCs w:val="20"/>
              </w:rPr>
              <w:t>域名</w:t>
            </w:r>
          </w:p>
        </w:tc>
        <w:tc>
          <w:tcPr>
            <w:tcW w:w="0" w:type="auto"/>
            <w:tcBorders>
              <w:top w:val="single" w:sz="4" w:space="0" w:color="auto"/>
              <w:bottom w:val="single" w:sz="4" w:space="0" w:color="auto"/>
              <w:right w:val="nil"/>
            </w:tcBorders>
            <w:vAlign w:val="center"/>
          </w:tcPr>
          <w:p w14:paraId="674DB74C"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其中：</w:t>
            </w:r>
            <w:r>
              <w:rPr>
                <w:rFonts w:ascii="宋体" w:hAnsi="宋体"/>
                <w:bCs/>
                <w:color w:val="000000" w:themeColor="text1"/>
                <w:kern w:val="0"/>
                <w:sz w:val="20"/>
                <w:szCs w:val="20"/>
              </w:rPr>
              <w:t>“</w:t>
            </w:r>
            <w:r>
              <w:rPr>
                <w:bCs/>
                <w:color w:val="000000" w:themeColor="text1"/>
                <w:kern w:val="0"/>
                <w:sz w:val="20"/>
                <w:szCs w:val="20"/>
              </w:rPr>
              <w:t>.</w:t>
            </w:r>
            <w:r>
              <w:rPr>
                <w:rFonts w:eastAsiaTheme="minorEastAsia"/>
                <w:bCs/>
                <w:color w:val="000000" w:themeColor="text1"/>
                <w:kern w:val="0"/>
                <w:sz w:val="20"/>
                <w:szCs w:val="20"/>
              </w:rPr>
              <w:t>中国</w:t>
            </w:r>
            <w:r>
              <w:rPr>
                <w:rFonts w:ascii="宋体" w:hAnsi="宋体"/>
                <w:bCs/>
                <w:color w:val="000000" w:themeColor="text1"/>
                <w:kern w:val="0"/>
                <w:sz w:val="20"/>
                <w:szCs w:val="20"/>
              </w:rPr>
              <w:t>”</w:t>
            </w:r>
            <w:r>
              <w:rPr>
                <w:rFonts w:eastAsiaTheme="minorEastAsia"/>
                <w:bCs/>
                <w:color w:val="000000" w:themeColor="text1"/>
                <w:kern w:val="0"/>
                <w:sz w:val="20"/>
                <w:szCs w:val="20"/>
              </w:rPr>
              <w:t>域名</w:t>
            </w:r>
          </w:p>
        </w:tc>
      </w:tr>
      <w:tr w:rsidR="008810A2" w14:paraId="439AC639" w14:textId="77777777">
        <w:trPr>
          <w:trHeight w:val="270"/>
          <w:jc w:val="center"/>
        </w:trPr>
        <w:tc>
          <w:tcPr>
            <w:tcW w:w="0" w:type="auto"/>
            <w:vMerge/>
            <w:tcBorders>
              <w:top w:val="single" w:sz="4" w:space="0" w:color="auto"/>
              <w:left w:val="nil"/>
              <w:right w:val="single" w:sz="4" w:space="0" w:color="auto"/>
            </w:tcBorders>
            <w:noWrap/>
            <w:vAlign w:val="center"/>
          </w:tcPr>
          <w:p w14:paraId="11702193" w14:textId="77777777" w:rsidR="008810A2" w:rsidRDefault="008810A2">
            <w:pPr>
              <w:ind w:firstLine="400"/>
              <w:rPr>
                <w:rFonts w:eastAsiaTheme="minorEastAsia"/>
                <w:bCs/>
                <w:color w:val="000000" w:themeColor="text1"/>
                <w:kern w:val="0"/>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5C4AEE4"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数量</w:t>
            </w:r>
          </w:p>
          <w:p w14:paraId="357613EE"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w:t>
            </w:r>
            <w:proofErr w:type="gramStart"/>
            <w:r>
              <w:rPr>
                <w:rFonts w:eastAsiaTheme="minorEastAsia"/>
                <w:bCs/>
                <w:color w:val="000000" w:themeColor="text1"/>
                <w:kern w:val="0"/>
                <w:sz w:val="20"/>
                <w:szCs w:val="20"/>
              </w:rPr>
              <w:t>个</w:t>
            </w:r>
            <w:proofErr w:type="gramEnd"/>
            <w:r>
              <w:rPr>
                <w:rFonts w:eastAsiaTheme="minorEastAsia"/>
                <w:bCs/>
                <w:color w:val="000000" w:themeColor="text1"/>
                <w:kern w:val="0"/>
                <w:sz w:val="20"/>
                <w:szCs w:val="20"/>
              </w:rPr>
              <w:t>）</w:t>
            </w:r>
          </w:p>
        </w:tc>
        <w:tc>
          <w:tcPr>
            <w:tcW w:w="0" w:type="auto"/>
            <w:tcBorders>
              <w:top w:val="single" w:sz="4" w:space="0" w:color="auto"/>
              <w:bottom w:val="single" w:sz="4" w:space="0" w:color="auto"/>
            </w:tcBorders>
            <w:vAlign w:val="center"/>
          </w:tcPr>
          <w:p w14:paraId="0DE766A8"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数量</w:t>
            </w:r>
          </w:p>
          <w:p w14:paraId="015A02AB"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w:t>
            </w:r>
            <w:proofErr w:type="gramStart"/>
            <w:r>
              <w:rPr>
                <w:rFonts w:eastAsiaTheme="minorEastAsia"/>
                <w:bCs/>
                <w:color w:val="000000" w:themeColor="text1"/>
                <w:kern w:val="0"/>
                <w:sz w:val="20"/>
                <w:szCs w:val="20"/>
              </w:rPr>
              <w:t>个</w:t>
            </w:r>
            <w:proofErr w:type="gramEnd"/>
            <w:r>
              <w:rPr>
                <w:rFonts w:eastAsiaTheme="minorEastAsia"/>
                <w:bCs/>
                <w:color w:val="000000" w:themeColor="text1"/>
                <w:kern w:val="0"/>
                <w:sz w:val="20"/>
                <w:szCs w:val="20"/>
              </w:rPr>
              <w:t>）</w:t>
            </w:r>
          </w:p>
        </w:tc>
        <w:tc>
          <w:tcPr>
            <w:tcW w:w="0" w:type="auto"/>
            <w:tcBorders>
              <w:top w:val="single" w:sz="4" w:space="0" w:color="auto"/>
              <w:bottom w:val="single" w:sz="4" w:space="0" w:color="auto"/>
              <w:right w:val="nil"/>
            </w:tcBorders>
            <w:vAlign w:val="center"/>
          </w:tcPr>
          <w:p w14:paraId="7525001B"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数量</w:t>
            </w:r>
          </w:p>
          <w:p w14:paraId="27820F89"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w:t>
            </w:r>
            <w:proofErr w:type="gramStart"/>
            <w:r>
              <w:rPr>
                <w:rFonts w:eastAsiaTheme="minorEastAsia"/>
                <w:bCs/>
                <w:color w:val="000000" w:themeColor="text1"/>
                <w:kern w:val="0"/>
                <w:sz w:val="20"/>
                <w:szCs w:val="20"/>
              </w:rPr>
              <w:t>个</w:t>
            </w:r>
            <w:proofErr w:type="gramEnd"/>
            <w:r>
              <w:rPr>
                <w:rFonts w:eastAsiaTheme="minorEastAsia"/>
                <w:bCs/>
                <w:color w:val="000000" w:themeColor="text1"/>
                <w:kern w:val="0"/>
                <w:sz w:val="20"/>
                <w:szCs w:val="20"/>
              </w:rPr>
              <w:t>）</w:t>
            </w:r>
          </w:p>
        </w:tc>
      </w:tr>
      <w:tr w:rsidR="008810A2" w14:paraId="792B2B63" w14:textId="77777777">
        <w:trPr>
          <w:trHeight w:val="270"/>
          <w:jc w:val="center"/>
        </w:trPr>
        <w:tc>
          <w:tcPr>
            <w:tcW w:w="0" w:type="auto"/>
            <w:tcBorders>
              <w:bottom w:val="nil"/>
              <w:right w:val="single" w:sz="4" w:space="0" w:color="auto"/>
            </w:tcBorders>
            <w:noWrap/>
            <w:vAlign w:val="center"/>
          </w:tcPr>
          <w:p w14:paraId="23B34F2D" w14:textId="77777777" w:rsidR="008810A2" w:rsidRDefault="00D921E0">
            <w:pPr>
              <w:spacing w:line="240" w:lineRule="auto"/>
              <w:ind w:firstLineChars="0" w:firstLine="0"/>
              <w:jc w:val="center"/>
              <w:rPr>
                <w:rFonts w:eastAsiaTheme="minorEastAsia"/>
                <w:color w:val="000000"/>
                <w:sz w:val="20"/>
                <w:szCs w:val="20"/>
              </w:rPr>
            </w:pPr>
            <w:r>
              <w:rPr>
                <w:sz w:val="20"/>
                <w:szCs w:val="20"/>
              </w:rPr>
              <w:t>广东</w:t>
            </w:r>
          </w:p>
        </w:tc>
        <w:tc>
          <w:tcPr>
            <w:tcW w:w="0" w:type="auto"/>
            <w:tcBorders>
              <w:top w:val="single" w:sz="4" w:space="0" w:color="auto"/>
              <w:left w:val="single" w:sz="4" w:space="0" w:color="auto"/>
              <w:bottom w:val="nil"/>
              <w:right w:val="single" w:sz="4" w:space="0" w:color="auto"/>
            </w:tcBorders>
            <w:noWrap/>
            <w:vAlign w:val="center"/>
          </w:tcPr>
          <w:p w14:paraId="30F13C5A"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6851219 </w:t>
            </w:r>
          </w:p>
        </w:tc>
        <w:tc>
          <w:tcPr>
            <w:tcW w:w="0" w:type="auto"/>
            <w:tcBorders>
              <w:top w:val="single" w:sz="4" w:space="0" w:color="auto"/>
              <w:left w:val="single" w:sz="4" w:space="0" w:color="auto"/>
              <w:bottom w:val="nil"/>
              <w:right w:val="single" w:sz="4" w:space="0" w:color="auto"/>
            </w:tcBorders>
            <w:vAlign w:val="center"/>
          </w:tcPr>
          <w:p w14:paraId="31A51BB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4597950</w:t>
            </w:r>
          </w:p>
        </w:tc>
        <w:tc>
          <w:tcPr>
            <w:tcW w:w="0" w:type="auto"/>
            <w:tcBorders>
              <w:top w:val="single" w:sz="4" w:space="0" w:color="auto"/>
              <w:left w:val="single" w:sz="4" w:space="0" w:color="auto"/>
              <w:bottom w:val="nil"/>
              <w:right w:val="nil"/>
            </w:tcBorders>
            <w:vAlign w:val="center"/>
          </w:tcPr>
          <w:p w14:paraId="26251F36"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14649</w:t>
            </w:r>
          </w:p>
        </w:tc>
      </w:tr>
      <w:tr w:rsidR="008810A2" w14:paraId="6C5E21D8" w14:textId="77777777">
        <w:trPr>
          <w:trHeight w:val="270"/>
          <w:jc w:val="center"/>
        </w:trPr>
        <w:tc>
          <w:tcPr>
            <w:tcW w:w="0" w:type="auto"/>
            <w:tcBorders>
              <w:top w:val="nil"/>
              <w:bottom w:val="nil"/>
              <w:right w:val="single" w:sz="4" w:space="0" w:color="auto"/>
            </w:tcBorders>
            <w:noWrap/>
            <w:vAlign w:val="center"/>
          </w:tcPr>
          <w:p w14:paraId="082C6DD4" w14:textId="77777777" w:rsidR="008810A2" w:rsidRDefault="00D921E0">
            <w:pPr>
              <w:spacing w:line="240" w:lineRule="auto"/>
              <w:ind w:firstLineChars="0" w:firstLine="0"/>
              <w:jc w:val="center"/>
              <w:rPr>
                <w:rFonts w:eastAsiaTheme="minorEastAsia"/>
                <w:color w:val="000000"/>
                <w:sz w:val="20"/>
                <w:szCs w:val="20"/>
              </w:rPr>
            </w:pPr>
            <w:r>
              <w:rPr>
                <w:sz w:val="20"/>
                <w:szCs w:val="20"/>
              </w:rPr>
              <w:t>北京</w:t>
            </w:r>
          </w:p>
        </w:tc>
        <w:tc>
          <w:tcPr>
            <w:tcW w:w="0" w:type="auto"/>
            <w:tcBorders>
              <w:top w:val="nil"/>
              <w:left w:val="single" w:sz="4" w:space="0" w:color="auto"/>
              <w:bottom w:val="nil"/>
              <w:right w:val="single" w:sz="4" w:space="0" w:color="auto"/>
            </w:tcBorders>
            <w:noWrap/>
            <w:vAlign w:val="center"/>
          </w:tcPr>
          <w:p w14:paraId="2B7E110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5498275 </w:t>
            </w:r>
          </w:p>
        </w:tc>
        <w:tc>
          <w:tcPr>
            <w:tcW w:w="0" w:type="auto"/>
            <w:tcBorders>
              <w:top w:val="nil"/>
              <w:left w:val="single" w:sz="4" w:space="0" w:color="auto"/>
              <w:bottom w:val="nil"/>
              <w:right w:val="single" w:sz="4" w:space="0" w:color="auto"/>
            </w:tcBorders>
            <w:vAlign w:val="center"/>
          </w:tcPr>
          <w:p w14:paraId="1E60A13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4403704</w:t>
            </w:r>
          </w:p>
        </w:tc>
        <w:tc>
          <w:tcPr>
            <w:tcW w:w="0" w:type="auto"/>
            <w:tcBorders>
              <w:top w:val="nil"/>
              <w:left w:val="single" w:sz="4" w:space="0" w:color="auto"/>
              <w:bottom w:val="nil"/>
              <w:right w:val="nil"/>
            </w:tcBorders>
            <w:vAlign w:val="center"/>
          </w:tcPr>
          <w:p w14:paraId="7C15D37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22743</w:t>
            </w:r>
          </w:p>
        </w:tc>
      </w:tr>
      <w:tr w:rsidR="008810A2" w14:paraId="6A8B1AB5" w14:textId="77777777">
        <w:trPr>
          <w:trHeight w:val="270"/>
          <w:jc w:val="center"/>
        </w:trPr>
        <w:tc>
          <w:tcPr>
            <w:tcW w:w="0" w:type="auto"/>
            <w:tcBorders>
              <w:top w:val="nil"/>
              <w:bottom w:val="nil"/>
              <w:right w:val="single" w:sz="4" w:space="0" w:color="auto"/>
            </w:tcBorders>
            <w:noWrap/>
            <w:vAlign w:val="center"/>
          </w:tcPr>
          <w:p w14:paraId="72453C80" w14:textId="77777777" w:rsidR="008810A2" w:rsidRDefault="00D921E0">
            <w:pPr>
              <w:spacing w:line="240" w:lineRule="auto"/>
              <w:ind w:firstLineChars="0" w:firstLine="0"/>
              <w:jc w:val="center"/>
              <w:rPr>
                <w:rFonts w:eastAsiaTheme="minorEastAsia"/>
                <w:color w:val="000000"/>
                <w:sz w:val="20"/>
                <w:szCs w:val="20"/>
              </w:rPr>
            </w:pPr>
            <w:r>
              <w:rPr>
                <w:sz w:val="20"/>
                <w:szCs w:val="20"/>
              </w:rPr>
              <w:t>福建</w:t>
            </w:r>
          </w:p>
        </w:tc>
        <w:tc>
          <w:tcPr>
            <w:tcW w:w="0" w:type="auto"/>
            <w:tcBorders>
              <w:top w:val="nil"/>
              <w:left w:val="single" w:sz="4" w:space="0" w:color="auto"/>
              <w:bottom w:val="nil"/>
              <w:right w:val="single" w:sz="4" w:space="0" w:color="auto"/>
            </w:tcBorders>
            <w:noWrap/>
            <w:vAlign w:val="center"/>
          </w:tcPr>
          <w:p w14:paraId="652EDD0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1994714 </w:t>
            </w:r>
          </w:p>
        </w:tc>
        <w:tc>
          <w:tcPr>
            <w:tcW w:w="0" w:type="auto"/>
            <w:tcBorders>
              <w:top w:val="nil"/>
              <w:left w:val="single" w:sz="4" w:space="0" w:color="auto"/>
              <w:bottom w:val="nil"/>
              <w:right w:val="single" w:sz="4" w:space="0" w:color="auto"/>
            </w:tcBorders>
            <w:vAlign w:val="center"/>
          </w:tcPr>
          <w:p w14:paraId="51E2505A"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1367440</w:t>
            </w:r>
          </w:p>
        </w:tc>
        <w:tc>
          <w:tcPr>
            <w:tcW w:w="0" w:type="auto"/>
            <w:tcBorders>
              <w:top w:val="nil"/>
              <w:left w:val="single" w:sz="4" w:space="0" w:color="auto"/>
              <w:bottom w:val="nil"/>
              <w:right w:val="nil"/>
            </w:tcBorders>
            <w:vAlign w:val="center"/>
          </w:tcPr>
          <w:p w14:paraId="72315B5E"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5487</w:t>
            </w:r>
          </w:p>
        </w:tc>
      </w:tr>
      <w:tr w:rsidR="008810A2" w14:paraId="4AAF5BFB" w14:textId="77777777">
        <w:trPr>
          <w:trHeight w:val="270"/>
          <w:jc w:val="center"/>
        </w:trPr>
        <w:tc>
          <w:tcPr>
            <w:tcW w:w="0" w:type="auto"/>
            <w:tcBorders>
              <w:top w:val="nil"/>
              <w:bottom w:val="nil"/>
              <w:right w:val="single" w:sz="4" w:space="0" w:color="auto"/>
            </w:tcBorders>
            <w:noWrap/>
            <w:vAlign w:val="center"/>
          </w:tcPr>
          <w:p w14:paraId="758C91CE" w14:textId="77777777" w:rsidR="008810A2" w:rsidRDefault="00D921E0">
            <w:pPr>
              <w:spacing w:line="240" w:lineRule="auto"/>
              <w:ind w:firstLineChars="0" w:firstLine="0"/>
              <w:jc w:val="center"/>
              <w:rPr>
                <w:rFonts w:eastAsiaTheme="minorEastAsia"/>
                <w:color w:val="000000"/>
                <w:sz w:val="20"/>
                <w:szCs w:val="20"/>
              </w:rPr>
            </w:pPr>
            <w:r>
              <w:rPr>
                <w:sz w:val="20"/>
                <w:szCs w:val="20"/>
              </w:rPr>
              <w:t>贵州</w:t>
            </w:r>
          </w:p>
        </w:tc>
        <w:tc>
          <w:tcPr>
            <w:tcW w:w="0" w:type="auto"/>
            <w:tcBorders>
              <w:top w:val="nil"/>
              <w:left w:val="single" w:sz="4" w:space="0" w:color="auto"/>
              <w:bottom w:val="nil"/>
              <w:right w:val="single" w:sz="4" w:space="0" w:color="auto"/>
            </w:tcBorders>
            <w:noWrap/>
            <w:vAlign w:val="center"/>
          </w:tcPr>
          <w:p w14:paraId="2CC275F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1796635 </w:t>
            </w:r>
          </w:p>
        </w:tc>
        <w:tc>
          <w:tcPr>
            <w:tcW w:w="0" w:type="auto"/>
            <w:tcBorders>
              <w:top w:val="nil"/>
              <w:left w:val="single" w:sz="4" w:space="0" w:color="auto"/>
              <w:bottom w:val="nil"/>
              <w:right w:val="single" w:sz="4" w:space="0" w:color="auto"/>
            </w:tcBorders>
            <w:vAlign w:val="center"/>
          </w:tcPr>
          <w:p w14:paraId="3B33337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1680824</w:t>
            </w:r>
          </w:p>
        </w:tc>
        <w:tc>
          <w:tcPr>
            <w:tcW w:w="0" w:type="auto"/>
            <w:tcBorders>
              <w:top w:val="nil"/>
              <w:left w:val="single" w:sz="4" w:space="0" w:color="auto"/>
              <w:bottom w:val="nil"/>
              <w:right w:val="nil"/>
            </w:tcBorders>
            <w:vAlign w:val="center"/>
          </w:tcPr>
          <w:p w14:paraId="3649DCF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3201</w:t>
            </w:r>
          </w:p>
        </w:tc>
      </w:tr>
      <w:tr w:rsidR="008810A2" w14:paraId="0D00381A" w14:textId="77777777">
        <w:trPr>
          <w:trHeight w:val="270"/>
          <w:jc w:val="center"/>
        </w:trPr>
        <w:tc>
          <w:tcPr>
            <w:tcW w:w="0" w:type="auto"/>
            <w:tcBorders>
              <w:top w:val="nil"/>
              <w:bottom w:val="nil"/>
              <w:right w:val="single" w:sz="4" w:space="0" w:color="auto"/>
            </w:tcBorders>
            <w:noWrap/>
            <w:vAlign w:val="center"/>
          </w:tcPr>
          <w:p w14:paraId="44687B02" w14:textId="77777777" w:rsidR="008810A2" w:rsidRDefault="00D921E0">
            <w:pPr>
              <w:spacing w:line="240" w:lineRule="auto"/>
              <w:ind w:firstLineChars="0" w:firstLine="0"/>
              <w:jc w:val="center"/>
              <w:rPr>
                <w:rFonts w:eastAsiaTheme="minorEastAsia"/>
                <w:color w:val="000000"/>
                <w:sz w:val="20"/>
                <w:szCs w:val="20"/>
              </w:rPr>
            </w:pPr>
            <w:r>
              <w:rPr>
                <w:sz w:val="20"/>
                <w:szCs w:val="20"/>
              </w:rPr>
              <w:t>山东</w:t>
            </w:r>
          </w:p>
        </w:tc>
        <w:tc>
          <w:tcPr>
            <w:tcW w:w="0" w:type="auto"/>
            <w:tcBorders>
              <w:top w:val="nil"/>
              <w:left w:val="single" w:sz="4" w:space="0" w:color="auto"/>
              <w:bottom w:val="nil"/>
              <w:right w:val="single" w:sz="4" w:space="0" w:color="auto"/>
            </w:tcBorders>
            <w:noWrap/>
            <w:vAlign w:val="center"/>
          </w:tcPr>
          <w:p w14:paraId="7743D8DC"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1488593 </w:t>
            </w:r>
          </w:p>
        </w:tc>
        <w:tc>
          <w:tcPr>
            <w:tcW w:w="0" w:type="auto"/>
            <w:tcBorders>
              <w:top w:val="nil"/>
              <w:left w:val="single" w:sz="4" w:space="0" w:color="auto"/>
              <w:bottom w:val="nil"/>
              <w:right w:val="single" w:sz="4" w:space="0" w:color="auto"/>
            </w:tcBorders>
            <w:vAlign w:val="center"/>
          </w:tcPr>
          <w:p w14:paraId="00E367A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916043</w:t>
            </w:r>
          </w:p>
        </w:tc>
        <w:tc>
          <w:tcPr>
            <w:tcW w:w="0" w:type="auto"/>
            <w:tcBorders>
              <w:top w:val="nil"/>
              <w:left w:val="single" w:sz="4" w:space="0" w:color="auto"/>
              <w:bottom w:val="nil"/>
              <w:right w:val="nil"/>
            </w:tcBorders>
            <w:vAlign w:val="center"/>
          </w:tcPr>
          <w:p w14:paraId="2F0C7C1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27623</w:t>
            </w:r>
          </w:p>
        </w:tc>
      </w:tr>
      <w:tr w:rsidR="008810A2" w14:paraId="62BE5A39" w14:textId="77777777">
        <w:trPr>
          <w:trHeight w:val="270"/>
          <w:jc w:val="center"/>
        </w:trPr>
        <w:tc>
          <w:tcPr>
            <w:tcW w:w="0" w:type="auto"/>
            <w:tcBorders>
              <w:top w:val="nil"/>
              <w:bottom w:val="nil"/>
              <w:right w:val="single" w:sz="4" w:space="0" w:color="auto"/>
            </w:tcBorders>
            <w:noWrap/>
            <w:vAlign w:val="center"/>
          </w:tcPr>
          <w:p w14:paraId="5C74E498" w14:textId="77777777" w:rsidR="008810A2" w:rsidRDefault="00D921E0">
            <w:pPr>
              <w:spacing w:line="240" w:lineRule="auto"/>
              <w:ind w:firstLineChars="0" w:firstLine="0"/>
              <w:jc w:val="center"/>
              <w:rPr>
                <w:rFonts w:eastAsiaTheme="minorEastAsia"/>
                <w:color w:val="000000"/>
                <w:sz w:val="20"/>
                <w:szCs w:val="20"/>
              </w:rPr>
            </w:pPr>
            <w:r>
              <w:rPr>
                <w:sz w:val="20"/>
                <w:szCs w:val="20"/>
              </w:rPr>
              <w:t>江苏</w:t>
            </w:r>
          </w:p>
        </w:tc>
        <w:tc>
          <w:tcPr>
            <w:tcW w:w="0" w:type="auto"/>
            <w:tcBorders>
              <w:top w:val="nil"/>
              <w:left w:val="single" w:sz="4" w:space="0" w:color="auto"/>
              <w:bottom w:val="nil"/>
              <w:right w:val="single" w:sz="4" w:space="0" w:color="auto"/>
            </w:tcBorders>
            <w:noWrap/>
            <w:vAlign w:val="center"/>
          </w:tcPr>
          <w:p w14:paraId="0B7284A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1363800 </w:t>
            </w:r>
          </w:p>
        </w:tc>
        <w:tc>
          <w:tcPr>
            <w:tcW w:w="0" w:type="auto"/>
            <w:tcBorders>
              <w:top w:val="nil"/>
              <w:left w:val="single" w:sz="4" w:space="0" w:color="auto"/>
              <w:bottom w:val="nil"/>
              <w:right w:val="single" w:sz="4" w:space="0" w:color="auto"/>
            </w:tcBorders>
            <w:vAlign w:val="center"/>
          </w:tcPr>
          <w:p w14:paraId="4358E71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554343</w:t>
            </w:r>
          </w:p>
        </w:tc>
        <w:tc>
          <w:tcPr>
            <w:tcW w:w="0" w:type="auto"/>
            <w:tcBorders>
              <w:top w:val="nil"/>
              <w:left w:val="single" w:sz="4" w:space="0" w:color="auto"/>
              <w:bottom w:val="nil"/>
              <w:right w:val="nil"/>
            </w:tcBorders>
            <w:vAlign w:val="center"/>
          </w:tcPr>
          <w:p w14:paraId="44A756E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7365</w:t>
            </w:r>
          </w:p>
        </w:tc>
      </w:tr>
      <w:tr w:rsidR="008810A2" w14:paraId="29235D3F" w14:textId="77777777">
        <w:trPr>
          <w:trHeight w:val="270"/>
          <w:jc w:val="center"/>
        </w:trPr>
        <w:tc>
          <w:tcPr>
            <w:tcW w:w="0" w:type="auto"/>
            <w:tcBorders>
              <w:top w:val="nil"/>
              <w:bottom w:val="nil"/>
              <w:right w:val="single" w:sz="4" w:space="0" w:color="auto"/>
            </w:tcBorders>
            <w:noWrap/>
            <w:vAlign w:val="center"/>
          </w:tcPr>
          <w:p w14:paraId="3B982947" w14:textId="77777777" w:rsidR="008810A2" w:rsidRDefault="00D921E0">
            <w:pPr>
              <w:spacing w:line="240" w:lineRule="auto"/>
              <w:ind w:firstLineChars="0" w:firstLine="0"/>
              <w:jc w:val="center"/>
              <w:rPr>
                <w:rFonts w:eastAsiaTheme="minorEastAsia"/>
                <w:color w:val="000000"/>
                <w:sz w:val="20"/>
                <w:szCs w:val="20"/>
              </w:rPr>
            </w:pPr>
            <w:r>
              <w:rPr>
                <w:sz w:val="20"/>
                <w:szCs w:val="20"/>
              </w:rPr>
              <w:t>上海</w:t>
            </w:r>
          </w:p>
        </w:tc>
        <w:tc>
          <w:tcPr>
            <w:tcW w:w="0" w:type="auto"/>
            <w:tcBorders>
              <w:top w:val="nil"/>
              <w:left w:val="single" w:sz="4" w:space="0" w:color="auto"/>
              <w:bottom w:val="nil"/>
              <w:right w:val="single" w:sz="4" w:space="0" w:color="auto"/>
            </w:tcBorders>
            <w:noWrap/>
            <w:vAlign w:val="center"/>
          </w:tcPr>
          <w:p w14:paraId="57746A33"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1321866 </w:t>
            </w:r>
          </w:p>
        </w:tc>
        <w:tc>
          <w:tcPr>
            <w:tcW w:w="0" w:type="auto"/>
            <w:tcBorders>
              <w:top w:val="nil"/>
              <w:left w:val="single" w:sz="4" w:space="0" w:color="auto"/>
              <w:bottom w:val="nil"/>
              <w:right w:val="single" w:sz="4" w:space="0" w:color="auto"/>
            </w:tcBorders>
            <w:vAlign w:val="center"/>
          </w:tcPr>
          <w:p w14:paraId="281B057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647902</w:t>
            </w:r>
          </w:p>
        </w:tc>
        <w:tc>
          <w:tcPr>
            <w:tcW w:w="0" w:type="auto"/>
            <w:tcBorders>
              <w:top w:val="nil"/>
              <w:left w:val="single" w:sz="4" w:space="0" w:color="auto"/>
              <w:bottom w:val="nil"/>
              <w:right w:val="nil"/>
            </w:tcBorders>
            <w:vAlign w:val="center"/>
          </w:tcPr>
          <w:p w14:paraId="2FAD5F0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6313</w:t>
            </w:r>
          </w:p>
        </w:tc>
      </w:tr>
      <w:tr w:rsidR="008810A2" w14:paraId="266E25E4" w14:textId="77777777">
        <w:trPr>
          <w:trHeight w:val="270"/>
          <w:jc w:val="center"/>
        </w:trPr>
        <w:tc>
          <w:tcPr>
            <w:tcW w:w="0" w:type="auto"/>
            <w:tcBorders>
              <w:top w:val="nil"/>
              <w:bottom w:val="nil"/>
              <w:right w:val="single" w:sz="4" w:space="0" w:color="auto"/>
            </w:tcBorders>
            <w:noWrap/>
            <w:vAlign w:val="center"/>
          </w:tcPr>
          <w:p w14:paraId="4CBCFB39" w14:textId="77777777" w:rsidR="008810A2" w:rsidRDefault="00D921E0">
            <w:pPr>
              <w:spacing w:line="240" w:lineRule="auto"/>
              <w:ind w:firstLineChars="0" w:firstLine="0"/>
              <w:jc w:val="center"/>
              <w:rPr>
                <w:rFonts w:eastAsiaTheme="minorEastAsia"/>
                <w:color w:val="000000"/>
                <w:sz w:val="20"/>
                <w:szCs w:val="20"/>
              </w:rPr>
            </w:pPr>
            <w:r>
              <w:rPr>
                <w:sz w:val="20"/>
                <w:szCs w:val="20"/>
              </w:rPr>
              <w:t>安徽</w:t>
            </w:r>
          </w:p>
        </w:tc>
        <w:tc>
          <w:tcPr>
            <w:tcW w:w="0" w:type="auto"/>
            <w:tcBorders>
              <w:top w:val="nil"/>
              <w:left w:val="single" w:sz="4" w:space="0" w:color="auto"/>
              <w:bottom w:val="nil"/>
              <w:right w:val="single" w:sz="4" w:space="0" w:color="auto"/>
            </w:tcBorders>
            <w:noWrap/>
            <w:vAlign w:val="center"/>
          </w:tcPr>
          <w:p w14:paraId="08FEA28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1284504 </w:t>
            </w:r>
          </w:p>
        </w:tc>
        <w:tc>
          <w:tcPr>
            <w:tcW w:w="0" w:type="auto"/>
            <w:tcBorders>
              <w:top w:val="nil"/>
              <w:left w:val="single" w:sz="4" w:space="0" w:color="auto"/>
              <w:bottom w:val="nil"/>
              <w:right w:val="single" w:sz="4" w:space="0" w:color="auto"/>
            </w:tcBorders>
            <w:vAlign w:val="center"/>
          </w:tcPr>
          <w:p w14:paraId="2BAE19A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265187</w:t>
            </w:r>
          </w:p>
        </w:tc>
        <w:tc>
          <w:tcPr>
            <w:tcW w:w="0" w:type="auto"/>
            <w:tcBorders>
              <w:top w:val="nil"/>
              <w:left w:val="single" w:sz="4" w:space="0" w:color="auto"/>
              <w:bottom w:val="nil"/>
              <w:right w:val="nil"/>
            </w:tcBorders>
            <w:vAlign w:val="center"/>
          </w:tcPr>
          <w:p w14:paraId="511B7BED"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3146</w:t>
            </w:r>
          </w:p>
        </w:tc>
      </w:tr>
      <w:tr w:rsidR="008810A2" w14:paraId="2AE3370A" w14:textId="77777777">
        <w:trPr>
          <w:trHeight w:val="270"/>
          <w:jc w:val="center"/>
        </w:trPr>
        <w:tc>
          <w:tcPr>
            <w:tcW w:w="0" w:type="auto"/>
            <w:tcBorders>
              <w:top w:val="nil"/>
              <w:bottom w:val="nil"/>
              <w:right w:val="single" w:sz="4" w:space="0" w:color="auto"/>
            </w:tcBorders>
            <w:noWrap/>
            <w:vAlign w:val="center"/>
          </w:tcPr>
          <w:p w14:paraId="6AB059CB" w14:textId="77777777" w:rsidR="008810A2" w:rsidRDefault="00D921E0">
            <w:pPr>
              <w:spacing w:line="240" w:lineRule="auto"/>
              <w:ind w:firstLineChars="0" w:firstLine="0"/>
              <w:jc w:val="center"/>
              <w:rPr>
                <w:rFonts w:eastAsiaTheme="minorEastAsia"/>
                <w:color w:val="000000"/>
                <w:sz w:val="20"/>
                <w:szCs w:val="20"/>
              </w:rPr>
            </w:pPr>
            <w:r>
              <w:rPr>
                <w:sz w:val="20"/>
                <w:szCs w:val="20"/>
              </w:rPr>
              <w:t>浙江</w:t>
            </w:r>
          </w:p>
        </w:tc>
        <w:tc>
          <w:tcPr>
            <w:tcW w:w="0" w:type="auto"/>
            <w:tcBorders>
              <w:top w:val="nil"/>
              <w:left w:val="single" w:sz="4" w:space="0" w:color="auto"/>
              <w:bottom w:val="nil"/>
              <w:right w:val="single" w:sz="4" w:space="0" w:color="auto"/>
            </w:tcBorders>
            <w:noWrap/>
            <w:vAlign w:val="center"/>
          </w:tcPr>
          <w:p w14:paraId="0A71A2E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1166355 </w:t>
            </w:r>
          </w:p>
        </w:tc>
        <w:tc>
          <w:tcPr>
            <w:tcW w:w="0" w:type="auto"/>
            <w:tcBorders>
              <w:top w:val="nil"/>
              <w:left w:val="single" w:sz="4" w:space="0" w:color="auto"/>
              <w:bottom w:val="nil"/>
              <w:right w:val="single" w:sz="4" w:space="0" w:color="auto"/>
            </w:tcBorders>
            <w:vAlign w:val="center"/>
          </w:tcPr>
          <w:p w14:paraId="44834FC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384557</w:t>
            </w:r>
          </w:p>
        </w:tc>
        <w:tc>
          <w:tcPr>
            <w:tcW w:w="0" w:type="auto"/>
            <w:tcBorders>
              <w:top w:val="nil"/>
              <w:left w:val="single" w:sz="4" w:space="0" w:color="auto"/>
              <w:bottom w:val="nil"/>
              <w:right w:val="nil"/>
            </w:tcBorders>
            <w:vAlign w:val="center"/>
          </w:tcPr>
          <w:p w14:paraId="7C999482"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6526</w:t>
            </w:r>
          </w:p>
        </w:tc>
      </w:tr>
      <w:tr w:rsidR="008810A2" w14:paraId="58FA1EB1" w14:textId="77777777">
        <w:trPr>
          <w:trHeight w:val="270"/>
          <w:jc w:val="center"/>
        </w:trPr>
        <w:tc>
          <w:tcPr>
            <w:tcW w:w="0" w:type="auto"/>
            <w:tcBorders>
              <w:top w:val="nil"/>
              <w:bottom w:val="nil"/>
              <w:right w:val="single" w:sz="4" w:space="0" w:color="auto"/>
            </w:tcBorders>
            <w:noWrap/>
            <w:vAlign w:val="center"/>
          </w:tcPr>
          <w:p w14:paraId="69C33F31" w14:textId="77777777" w:rsidR="008810A2" w:rsidRDefault="00D921E0">
            <w:pPr>
              <w:spacing w:line="240" w:lineRule="auto"/>
              <w:ind w:firstLineChars="0" w:firstLine="0"/>
              <w:jc w:val="center"/>
              <w:rPr>
                <w:rFonts w:eastAsiaTheme="minorEastAsia"/>
                <w:color w:val="000000"/>
                <w:sz w:val="20"/>
                <w:szCs w:val="20"/>
              </w:rPr>
            </w:pPr>
            <w:r>
              <w:rPr>
                <w:sz w:val="20"/>
                <w:szCs w:val="20"/>
              </w:rPr>
              <w:t>河南</w:t>
            </w:r>
          </w:p>
        </w:tc>
        <w:tc>
          <w:tcPr>
            <w:tcW w:w="0" w:type="auto"/>
            <w:tcBorders>
              <w:top w:val="nil"/>
              <w:left w:val="single" w:sz="4" w:space="0" w:color="auto"/>
              <w:bottom w:val="nil"/>
              <w:right w:val="single" w:sz="4" w:space="0" w:color="auto"/>
            </w:tcBorders>
            <w:noWrap/>
            <w:vAlign w:val="center"/>
          </w:tcPr>
          <w:p w14:paraId="025C1C5D"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1005956 </w:t>
            </w:r>
          </w:p>
        </w:tc>
        <w:tc>
          <w:tcPr>
            <w:tcW w:w="0" w:type="auto"/>
            <w:tcBorders>
              <w:top w:val="nil"/>
              <w:left w:val="single" w:sz="4" w:space="0" w:color="auto"/>
              <w:bottom w:val="nil"/>
              <w:right w:val="single" w:sz="4" w:space="0" w:color="auto"/>
            </w:tcBorders>
            <w:vAlign w:val="center"/>
          </w:tcPr>
          <w:p w14:paraId="22B8BBEE"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552990</w:t>
            </w:r>
          </w:p>
        </w:tc>
        <w:tc>
          <w:tcPr>
            <w:tcW w:w="0" w:type="auto"/>
            <w:tcBorders>
              <w:top w:val="nil"/>
              <w:left w:val="single" w:sz="4" w:space="0" w:color="auto"/>
              <w:bottom w:val="nil"/>
              <w:right w:val="nil"/>
            </w:tcBorders>
            <w:vAlign w:val="center"/>
          </w:tcPr>
          <w:p w14:paraId="240E7062"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3961</w:t>
            </w:r>
          </w:p>
        </w:tc>
      </w:tr>
      <w:tr w:rsidR="008810A2" w14:paraId="4464D105" w14:textId="77777777">
        <w:trPr>
          <w:trHeight w:val="270"/>
          <w:jc w:val="center"/>
        </w:trPr>
        <w:tc>
          <w:tcPr>
            <w:tcW w:w="0" w:type="auto"/>
            <w:tcBorders>
              <w:top w:val="nil"/>
              <w:bottom w:val="nil"/>
              <w:right w:val="single" w:sz="4" w:space="0" w:color="auto"/>
            </w:tcBorders>
            <w:noWrap/>
            <w:vAlign w:val="center"/>
          </w:tcPr>
          <w:p w14:paraId="0E7843E5" w14:textId="77777777" w:rsidR="008810A2" w:rsidRDefault="00D921E0">
            <w:pPr>
              <w:spacing w:line="240" w:lineRule="auto"/>
              <w:ind w:firstLineChars="0" w:firstLine="0"/>
              <w:jc w:val="center"/>
              <w:rPr>
                <w:rFonts w:eastAsiaTheme="minorEastAsia"/>
                <w:color w:val="000000"/>
                <w:sz w:val="20"/>
                <w:szCs w:val="20"/>
              </w:rPr>
            </w:pPr>
            <w:r>
              <w:rPr>
                <w:sz w:val="20"/>
                <w:szCs w:val="20"/>
              </w:rPr>
              <w:t>四川</w:t>
            </w:r>
          </w:p>
        </w:tc>
        <w:tc>
          <w:tcPr>
            <w:tcW w:w="0" w:type="auto"/>
            <w:tcBorders>
              <w:top w:val="nil"/>
              <w:left w:val="single" w:sz="4" w:space="0" w:color="auto"/>
              <w:bottom w:val="nil"/>
              <w:right w:val="single" w:sz="4" w:space="0" w:color="auto"/>
            </w:tcBorders>
            <w:noWrap/>
            <w:vAlign w:val="center"/>
          </w:tcPr>
          <w:p w14:paraId="36D168A1"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1001037 </w:t>
            </w:r>
          </w:p>
        </w:tc>
        <w:tc>
          <w:tcPr>
            <w:tcW w:w="0" w:type="auto"/>
            <w:tcBorders>
              <w:top w:val="nil"/>
              <w:left w:val="single" w:sz="4" w:space="0" w:color="auto"/>
              <w:bottom w:val="nil"/>
              <w:right w:val="single" w:sz="4" w:space="0" w:color="auto"/>
            </w:tcBorders>
            <w:vAlign w:val="center"/>
          </w:tcPr>
          <w:p w14:paraId="1AA7CA6C"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489944</w:t>
            </w:r>
          </w:p>
        </w:tc>
        <w:tc>
          <w:tcPr>
            <w:tcW w:w="0" w:type="auto"/>
            <w:tcBorders>
              <w:top w:val="nil"/>
              <w:left w:val="single" w:sz="4" w:space="0" w:color="auto"/>
              <w:bottom w:val="nil"/>
              <w:right w:val="nil"/>
            </w:tcBorders>
            <w:vAlign w:val="center"/>
          </w:tcPr>
          <w:p w14:paraId="320D543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10549</w:t>
            </w:r>
          </w:p>
        </w:tc>
      </w:tr>
      <w:tr w:rsidR="008810A2" w14:paraId="174814FF" w14:textId="77777777">
        <w:trPr>
          <w:trHeight w:val="270"/>
          <w:jc w:val="center"/>
        </w:trPr>
        <w:tc>
          <w:tcPr>
            <w:tcW w:w="0" w:type="auto"/>
            <w:tcBorders>
              <w:top w:val="nil"/>
              <w:bottom w:val="nil"/>
              <w:right w:val="single" w:sz="4" w:space="0" w:color="auto"/>
            </w:tcBorders>
            <w:noWrap/>
            <w:vAlign w:val="center"/>
          </w:tcPr>
          <w:p w14:paraId="6AB37D23" w14:textId="77777777" w:rsidR="008810A2" w:rsidRDefault="00D921E0">
            <w:pPr>
              <w:spacing w:line="240" w:lineRule="auto"/>
              <w:ind w:firstLineChars="0" w:firstLine="0"/>
              <w:jc w:val="center"/>
              <w:rPr>
                <w:rFonts w:eastAsiaTheme="minorEastAsia"/>
                <w:color w:val="000000"/>
                <w:sz w:val="20"/>
                <w:szCs w:val="20"/>
              </w:rPr>
            </w:pPr>
            <w:r>
              <w:rPr>
                <w:sz w:val="20"/>
                <w:szCs w:val="20"/>
              </w:rPr>
              <w:t>湖南</w:t>
            </w:r>
          </w:p>
        </w:tc>
        <w:tc>
          <w:tcPr>
            <w:tcW w:w="0" w:type="auto"/>
            <w:tcBorders>
              <w:top w:val="nil"/>
              <w:left w:val="single" w:sz="4" w:space="0" w:color="auto"/>
              <w:bottom w:val="nil"/>
              <w:right w:val="single" w:sz="4" w:space="0" w:color="auto"/>
            </w:tcBorders>
            <w:noWrap/>
            <w:vAlign w:val="center"/>
          </w:tcPr>
          <w:p w14:paraId="02D49D22"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850735 </w:t>
            </w:r>
          </w:p>
        </w:tc>
        <w:tc>
          <w:tcPr>
            <w:tcW w:w="0" w:type="auto"/>
            <w:tcBorders>
              <w:top w:val="nil"/>
              <w:left w:val="single" w:sz="4" w:space="0" w:color="auto"/>
              <w:bottom w:val="nil"/>
              <w:right w:val="single" w:sz="4" w:space="0" w:color="auto"/>
            </w:tcBorders>
            <w:vAlign w:val="center"/>
          </w:tcPr>
          <w:p w14:paraId="319CC6A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405814</w:t>
            </w:r>
          </w:p>
        </w:tc>
        <w:tc>
          <w:tcPr>
            <w:tcW w:w="0" w:type="auto"/>
            <w:tcBorders>
              <w:top w:val="nil"/>
              <w:left w:val="single" w:sz="4" w:space="0" w:color="auto"/>
              <w:bottom w:val="nil"/>
              <w:right w:val="nil"/>
            </w:tcBorders>
            <w:vAlign w:val="center"/>
          </w:tcPr>
          <w:p w14:paraId="667E5321"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2534</w:t>
            </w:r>
          </w:p>
        </w:tc>
      </w:tr>
      <w:tr w:rsidR="008810A2" w14:paraId="178AA0AF" w14:textId="77777777">
        <w:trPr>
          <w:trHeight w:val="270"/>
          <w:jc w:val="center"/>
        </w:trPr>
        <w:tc>
          <w:tcPr>
            <w:tcW w:w="0" w:type="auto"/>
            <w:tcBorders>
              <w:top w:val="nil"/>
              <w:bottom w:val="nil"/>
              <w:right w:val="single" w:sz="4" w:space="0" w:color="auto"/>
            </w:tcBorders>
            <w:noWrap/>
            <w:vAlign w:val="center"/>
          </w:tcPr>
          <w:p w14:paraId="435A45B7" w14:textId="77777777" w:rsidR="008810A2" w:rsidRDefault="00D921E0">
            <w:pPr>
              <w:spacing w:line="240" w:lineRule="auto"/>
              <w:ind w:firstLineChars="0" w:firstLine="0"/>
              <w:jc w:val="center"/>
              <w:rPr>
                <w:rFonts w:eastAsiaTheme="minorEastAsia"/>
                <w:color w:val="000000"/>
                <w:sz w:val="20"/>
                <w:szCs w:val="20"/>
              </w:rPr>
            </w:pPr>
            <w:r>
              <w:rPr>
                <w:sz w:val="20"/>
                <w:szCs w:val="20"/>
              </w:rPr>
              <w:t>湖北</w:t>
            </w:r>
          </w:p>
        </w:tc>
        <w:tc>
          <w:tcPr>
            <w:tcW w:w="0" w:type="auto"/>
            <w:tcBorders>
              <w:top w:val="nil"/>
              <w:left w:val="single" w:sz="4" w:space="0" w:color="auto"/>
              <w:bottom w:val="nil"/>
              <w:right w:val="single" w:sz="4" w:space="0" w:color="auto"/>
            </w:tcBorders>
            <w:noWrap/>
            <w:vAlign w:val="center"/>
          </w:tcPr>
          <w:p w14:paraId="7931577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732662 </w:t>
            </w:r>
          </w:p>
        </w:tc>
        <w:tc>
          <w:tcPr>
            <w:tcW w:w="0" w:type="auto"/>
            <w:tcBorders>
              <w:top w:val="nil"/>
              <w:left w:val="single" w:sz="4" w:space="0" w:color="auto"/>
              <w:bottom w:val="nil"/>
              <w:right w:val="single" w:sz="4" w:space="0" w:color="auto"/>
            </w:tcBorders>
            <w:vAlign w:val="center"/>
          </w:tcPr>
          <w:p w14:paraId="74F57633"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388603</w:t>
            </w:r>
          </w:p>
        </w:tc>
        <w:tc>
          <w:tcPr>
            <w:tcW w:w="0" w:type="auto"/>
            <w:tcBorders>
              <w:top w:val="nil"/>
              <w:left w:val="single" w:sz="4" w:space="0" w:color="auto"/>
              <w:bottom w:val="nil"/>
              <w:right w:val="nil"/>
            </w:tcBorders>
            <w:vAlign w:val="center"/>
          </w:tcPr>
          <w:p w14:paraId="07C47A0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2904</w:t>
            </w:r>
          </w:p>
        </w:tc>
      </w:tr>
      <w:tr w:rsidR="008810A2" w14:paraId="0A61ED80" w14:textId="77777777">
        <w:trPr>
          <w:trHeight w:val="270"/>
          <w:jc w:val="center"/>
        </w:trPr>
        <w:tc>
          <w:tcPr>
            <w:tcW w:w="0" w:type="auto"/>
            <w:tcBorders>
              <w:top w:val="nil"/>
              <w:bottom w:val="nil"/>
              <w:right w:val="single" w:sz="4" w:space="0" w:color="auto"/>
            </w:tcBorders>
            <w:noWrap/>
            <w:vAlign w:val="center"/>
          </w:tcPr>
          <w:p w14:paraId="3C432541" w14:textId="77777777" w:rsidR="008810A2" w:rsidRDefault="00D921E0">
            <w:pPr>
              <w:spacing w:line="240" w:lineRule="auto"/>
              <w:ind w:firstLineChars="0" w:firstLine="0"/>
              <w:jc w:val="center"/>
              <w:rPr>
                <w:rFonts w:eastAsiaTheme="minorEastAsia"/>
                <w:color w:val="000000"/>
                <w:sz w:val="20"/>
                <w:szCs w:val="20"/>
              </w:rPr>
            </w:pPr>
            <w:r>
              <w:rPr>
                <w:sz w:val="20"/>
                <w:szCs w:val="20"/>
              </w:rPr>
              <w:t>江西</w:t>
            </w:r>
          </w:p>
        </w:tc>
        <w:tc>
          <w:tcPr>
            <w:tcW w:w="0" w:type="auto"/>
            <w:tcBorders>
              <w:top w:val="nil"/>
              <w:left w:val="single" w:sz="4" w:space="0" w:color="auto"/>
              <w:bottom w:val="nil"/>
              <w:right w:val="single" w:sz="4" w:space="0" w:color="auto"/>
            </w:tcBorders>
            <w:noWrap/>
            <w:vAlign w:val="center"/>
          </w:tcPr>
          <w:p w14:paraId="76F8F39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596044 </w:t>
            </w:r>
          </w:p>
        </w:tc>
        <w:tc>
          <w:tcPr>
            <w:tcW w:w="0" w:type="auto"/>
            <w:tcBorders>
              <w:top w:val="nil"/>
              <w:left w:val="single" w:sz="4" w:space="0" w:color="auto"/>
              <w:bottom w:val="nil"/>
              <w:right w:val="single" w:sz="4" w:space="0" w:color="auto"/>
            </w:tcBorders>
            <w:vAlign w:val="center"/>
          </w:tcPr>
          <w:p w14:paraId="47A6FFC4"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279824</w:t>
            </w:r>
          </w:p>
        </w:tc>
        <w:tc>
          <w:tcPr>
            <w:tcW w:w="0" w:type="auto"/>
            <w:tcBorders>
              <w:top w:val="nil"/>
              <w:left w:val="single" w:sz="4" w:space="0" w:color="auto"/>
              <w:bottom w:val="nil"/>
              <w:right w:val="nil"/>
            </w:tcBorders>
            <w:vAlign w:val="center"/>
          </w:tcPr>
          <w:p w14:paraId="6CAED65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1664</w:t>
            </w:r>
          </w:p>
        </w:tc>
      </w:tr>
      <w:tr w:rsidR="008810A2" w14:paraId="7481F830" w14:textId="77777777">
        <w:trPr>
          <w:trHeight w:val="270"/>
          <w:jc w:val="center"/>
        </w:trPr>
        <w:tc>
          <w:tcPr>
            <w:tcW w:w="0" w:type="auto"/>
            <w:tcBorders>
              <w:top w:val="nil"/>
              <w:bottom w:val="nil"/>
              <w:right w:val="single" w:sz="4" w:space="0" w:color="auto"/>
            </w:tcBorders>
            <w:noWrap/>
            <w:vAlign w:val="center"/>
          </w:tcPr>
          <w:p w14:paraId="69E100F8" w14:textId="77777777" w:rsidR="008810A2" w:rsidRDefault="00D921E0">
            <w:pPr>
              <w:spacing w:line="240" w:lineRule="auto"/>
              <w:ind w:firstLineChars="0" w:firstLine="0"/>
              <w:jc w:val="center"/>
              <w:rPr>
                <w:rFonts w:eastAsiaTheme="minorEastAsia"/>
                <w:color w:val="000000"/>
                <w:sz w:val="20"/>
                <w:szCs w:val="20"/>
              </w:rPr>
            </w:pPr>
            <w:r>
              <w:rPr>
                <w:sz w:val="20"/>
                <w:szCs w:val="20"/>
              </w:rPr>
              <w:t>广西</w:t>
            </w:r>
          </w:p>
        </w:tc>
        <w:tc>
          <w:tcPr>
            <w:tcW w:w="0" w:type="auto"/>
            <w:tcBorders>
              <w:top w:val="nil"/>
              <w:left w:val="single" w:sz="4" w:space="0" w:color="auto"/>
              <w:bottom w:val="nil"/>
              <w:right w:val="single" w:sz="4" w:space="0" w:color="auto"/>
            </w:tcBorders>
            <w:noWrap/>
            <w:vAlign w:val="center"/>
          </w:tcPr>
          <w:p w14:paraId="77EF102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589855 </w:t>
            </w:r>
          </w:p>
        </w:tc>
        <w:tc>
          <w:tcPr>
            <w:tcW w:w="0" w:type="auto"/>
            <w:tcBorders>
              <w:top w:val="nil"/>
              <w:left w:val="single" w:sz="4" w:space="0" w:color="auto"/>
              <w:bottom w:val="nil"/>
              <w:right w:val="single" w:sz="4" w:space="0" w:color="auto"/>
            </w:tcBorders>
            <w:vAlign w:val="center"/>
          </w:tcPr>
          <w:p w14:paraId="294B446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366847</w:t>
            </w:r>
          </w:p>
        </w:tc>
        <w:tc>
          <w:tcPr>
            <w:tcW w:w="0" w:type="auto"/>
            <w:tcBorders>
              <w:top w:val="nil"/>
              <w:left w:val="single" w:sz="4" w:space="0" w:color="auto"/>
              <w:bottom w:val="nil"/>
              <w:right w:val="nil"/>
            </w:tcBorders>
            <w:vAlign w:val="center"/>
          </w:tcPr>
          <w:p w14:paraId="478C82C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1388</w:t>
            </w:r>
          </w:p>
        </w:tc>
      </w:tr>
      <w:tr w:rsidR="008810A2" w14:paraId="574C4736" w14:textId="77777777">
        <w:trPr>
          <w:trHeight w:val="270"/>
          <w:jc w:val="center"/>
        </w:trPr>
        <w:tc>
          <w:tcPr>
            <w:tcW w:w="0" w:type="auto"/>
            <w:tcBorders>
              <w:top w:val="nil"/>
              <w:bottom w:val="nil"/>
              <w:right w:val="single" w:sz="4" w:space="0" w:color="auto"/>
            </w:tcBorders>
            <w:noWrap/>
            <w:vAlign w:val="center"/>
          </w:tcPr>
          <w:p w14:paraId="391B38DB" w14:textId="77777777" w:rsidR="008810A2" w:rsidRDefault="00D921E0">
            <w:pPr>
              <w:spacing w:line="240" w:lineRule="auto"/>
              <w:ind w:firstLineChars="0" w:firstLine="0"/>
              <w:jc w:val="center"/>
              <w:rPr>
                <w:rFonts w:eastAsiaTheme="minorEastAsia"/>
                <w:color w:val="000000"/>
                <w:sz w:val="20"/>
                <w:szCs w:val="20"/>
              </w:rPr>
            </w:pPr>
            <w:r>
              <w:rPr>
                <w:sz w:val="20"/>
                <w:szCs w:val="20"/>
              </w:rPr>
              <w:t>河北</w:t>
            </w:r>
          </w:p>
        </w:tc>
        <w:tc>
          <w:tcPr>
            <w:tcW w:w="0" w:type="auto"/>
            <w:tcBorders>
              <w:top w:val="nil"/>
              <w:left w:val="single" w:sz="4" w:space="0" w:color="auto"/>
              <w:bottom w:val="nil"/>
              <w:right w:val="single" w:sz="4" w:space="0" w:color="auto"/>
            </w:tcBorders>
            <w:noWrap/>
            <w:vAlign w:val="center"/>
          </w:tcPr>
          <w:p w14:paraId="6461074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588199 </w:t>
            </w:r>
          </w:p>
        </w:tc>
        <w:tc>
          <w:tcPr>
            <w:tcW w:w="0" w:type="auto"/>
            <w:tcBorders>
              <w:top w:val="nil"/>
              <w:left w:val="single" w:sz="4" w:space="0" w:color="auto"/>
              <w:bottom w:val="nil"/>
              <w:right w:val="single" w:sz="4" w:space="0" w:color="auto"/>
            </w:tcBorders>
            <w:vAlign w:val="center"/>
          </w:tcPr>
          <w:p w14:paraId="7961AB0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287340</w:t>
            </w:r>
          </w:p>
        </w:tc>
        <w:tc>
          <w:tcPr>
            <w:tcW w:w="0" w:type="auto"/>
            <w:tcBorders>
              <w:top w:val="nil"/>
              <w:left w:val="single" w:sz="4" w:space="0" w:color="auto"/>
              <w:bottom w:val="nil"/>
              <w:right w:val="nil"/>
            </w:tcBorders>
            <w:vAlign w:val="center"/>
          </w:tcPr>
          <w:p w14:paraId="32EA0846"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4980</w:t>
            </w:r>
          </w:p>
        </w:tc>
      </w:tr>
      <w:tr w:rsidR="008810A2" w14:paraId="2DA6E7F8" w14:textId="77777777">
        <w:trPr>
          <w:trHeight w:val="270"/>
          <w:jc w:val="center"/>
        </w:trPr>
        <w:tc>
          <w:tcPr>
            <w:tcW w:w="0" w:type="auto"/>
            <w:tcBorders>
              <w:top w:val="nil"/>
              <w:bottom w:val="nil"/>
              <w:right w:val="single" w:sz="4" w:space="0" w:color="auto"/>
            </w:tcBorders>
            <w:noWrap/>
            <w:vAlign w:val="center"/>
          </w:tcPr>
          <w:p w14:paraId="2454BE08" w14:textId="77777777" w:rsidR="008810A2" w:rsidRDefault="00D921E0">
            <w:pPr>
              <w:spacing w:line="240" w:lineRule="auto"/>
              <w:ind w:firstLineChars="0" w:firstLine="0"/>
              <w:jc w:val="center"/>
              <w:rPr>
                <w:rFonts w:eastAsiaTheme="minorEastAsia"/>
                <w:color w:val="000000"/>
                <w:sz w:val="20"/>
                <w:szCs w:val="20"/>
              </w:rPr>
            </w:pPr>
            <w:r>
              <w:rPr>
                <w:sz w:val="20"/>
                <w:szCs w:val="20"/>
              </w:rPr>
              <w:t>陕西</w:t>
            </w:r>
          </w:p>
        </w:tc>
        <w:tc>
          <w:tcPr>
            <w:tcW w:w="0" w:type="auto"/>
            <w:tcBorders>
              <w:top w:val="nil"/>
              <w:left w:val="single" w:sz="4" w:space="0" w:color="auto"/>
              <w:bottom w:val="nil"/>
              <w:right w:val="single" w:sz="4" w:space="0" w:color="auto"/>
            </w:tcBorders>
            <w:noWrap/>
            <w:vAlign w:val="center"/>
          </w:tcPr>
          <w:p w14:paraId="620B037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414710 </w:t>
            </w:r>
          </w:p>
        </w:tc>
        <w:tc>
          <w:tcPr>
            <w:tcW w:w="0" w:type="auto"/>
            <w:tcBorders>
              <w:top w:val="nil"/>
              <w:left w:val="single" w:sz="4" w:space="0" w:color="auto"/>
              <w:bottom w:val="nil"/>
              <w:right w:val="single" w:sz="4" w:space="0" w:color="auto"/>
            </w:tcBorders>
            <w:vAlign w:val="center"/>
          </w:tcPr>
          <w:p w14:paraId="5B909571"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196386</w:t>
            </w:r>
          </w:p>
        </w:tc>
        <w:tc>
          <w:tcPr>
            <w:tcW w:w="0" w:type="auto"/>
            <w:tcBorders>
              <w:top w:val="nil"/>
              <w:left w:val="single" w:sz="4" w:space="0" w:color="auto"/>
              <w:bottom w:val="nil"/>
              <w:right w:val="nil"/>
            </w:tcBorders>
            <w:vAlign w:val="center"/>
          </w:tcPr>
          <w:p w14:paraId="54C1E624"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7383</w:t>
            </w:r>
          </w:p>
        </w:tc>
      </w:tr>
      <w:tr w:rsidR="008810A2" w14:paraId="06BF6B93" w14:textId="77777777">
        <w:trPr>
          <w:trHeight w:val="270"/>
          <w:jc w:val="center"/>
        </w:trPr>
        <w:tc>
          <w:tcPr>
            <w:tcW w:w="0" w:type="auto"/>
            <w:tcBorders>
              <w:top w:val="nil"/>
              <w:bottom w:val="nil"/>
              <w:right w:val="single" w:sz="4" w:space="0" w:color="auto"/>
            </w:tcBorders>
            <w:noWrap/>
            <w:vAlign w:val="center"/>
          </w:tcPr>
          <w:p w14:paraId="771DD65A" w14:textId="77777777" w:rsidR="008810A2" w:rsidRDefault="00D921E0">
            <w:pPr>
              <w:spacing w:line="240" w:lineRule="auto"/>
              <w:ind w:firstLineChars="0" w:firstLine="0"/>
              <w:jc w:val="center"/>
              <w:rPr>
                <w:rFonts w:eastAsiaTheme="minorEastAsia"/>
                <w:color w:val="000000"/>
                <w:sz w:val="20"/>
                <w:szCs w:val="20"/>
              </w:rPr>
            </w:pPr>
            <w:r>
              <w:rPr>
                <w:sz w:val="20"/>
                <w:szCs w:val="20"/>
              </w:rPr>
              <w:t>辽宁</w:t>
            </w:r>
          </w:p>
        </w:tc>
        <w:tc>
          <w:tcPr>
            <w:tcW w:w="0" w:type="auto"/>
            <w:tcBorders>
              <w:top w:val="nil"/>
              <w:left w:val="single" w:sz="4" w:space="0" w:color="auto"/>
              <w:bottom w:val="nil"/>
              <w:right w:val="single" w:sz="4" w:space="0" w:color="auto"/>
            </w:tcBorders>
            <w:noWrap/>
            <w:vAlign w:val="center"/>
          </w:tcPr>
          <w:p w14:paraId="4EB542EA"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413962 </w:t>
            </w:r>
          </w:p>
        </w:tc>
        <w:tc>
          <w:tcPr>
            <w:tcW w:w="0" w:type="auto"/>
            <w:tcBorders>
              <w:top w:val="nil"/>
              <w:left w:val="single" w:sz="4" w:space="0" w:color="auto"/>
              <w:bottom w:val="nil"/>
              <w:right w:val="single" w:sz="4" w:space="0" w:color="auto"/>
            </w:tcBorders>
            <w:vAlign w:val="center"/>
          </w:tcPr>
          <w:p w14:paraId="1AD4ED8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204654</w:t>
            </w:r>
          </w:p>
        </w:tc>
        <w:tc>
          <w:tcPr>
            <w:tcW w:w="0" w:type="auto"/>
            <w:tcBorders>
              <w:top w:val="nil"/>
              <w:left w:val="single" w:sz="4" w:space="0" w:color="auto"/>
              <w:bottom w:val="nil"/>
              <w:right w:val="nil"/>
            </w:tcBorders>
            <w:vAlign w:val="center"/>
          </w:tcPr>
          <w:p w14:paraId="75A99B8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5407</w:t>
            </w:r>
          </w:p>
        </w:tc>
      </w:tr>
      <w:tr w:rsidR="008810A2" w14:paraId="77411CCD" w14:textId="77777777">
        <w:trPr>
          <w:trHeight w:val="270"/>
          <w:jc w:val="center"/>
        </w:trPr>
        <w:tc>
          <w:tcPr>
            <w:tcW w:w="0" w:type="auto"/>
            <w:tcBorders>
              <w:top w:val="nil"/>
              <w:bottom w:val="nil"/>
              <w:right w:val="single" w:sz="4" w:space="0" w:color="auto"/>
            </w:tcBorders>
            <w:noWrap/>
            <w:vAlign w:val="center"/>
          </w:tcPr>
          <w:p w14:paraId="788E936E" w14:textId="77777777" w:rsidR="008810A2" w:rsidRDefault="00D921E0">
            <w:pPr>
              <w:spacing w:line="240" w:lineRule="auto"/>
              <w:ind w:firstLineChars="0" w:firstLine="0"/>
              <w:jc w:val="center"/>
              <w:rPr>
                <w:rFonts w:eastAsiaTheme="minorEastAsia"/>
                <w:color w:val="000000"/>
                <w:sz w:val="20"/>
                <w:szCs w:val="20"/>
              </w:rPr>
            </w:pPr>
            <w:r>
              <w:rPr>
                <w:sz w:val="20"/>
                <w:szCs w:val="20"/>
              </w:rPr>
              <w:t>重庆</w:t>
            </w:r>
          </w:p>
        </w:tc>
        <w:tc>
          <w:tcPr>
            <w:tcW w:w="0" w:type="auto"/>
            <w:tcBorders>
              <w:top w:val="nil"/>
              <w:left w:val="single" w:sz="4" w:space="0" w:color="auto"/>
              <w:bottom w:val="nil"/>
              <w:right w:val="single" w:sz="4" w:space="0" w:color="auto"/>
            </w:tcBorders>
            <w:noWrap/>
            <w:vAlign w:val="center"/>
          </w:tcPr>
          <w:p w14:paraId="10BAE98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407917 </w:t>
            </w:r>
          </w:p>
        </w:tc>
        <w:tc>
          <w:tcPr>
            <w:tcW w:w="0" w:type="auto"/>
            <w:tcBorders>
              <w:top w:val="nil"/>
              <w:left w:val="single" w:sz="4" w:space="0" w:color="auto"/>
              <w:bottom w:val="nil"/>
              <w:right w:val="single" w:sz="4" w:space="0" w:color="auto"/>
            </w:tcBorders>
            <w:vAlign w:val="center"/>
          </w:tcPr>
          <w:p w14:paraId="6D9DE8E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215949</w:t>
            </w:r>
          </w:p>
        </w:tc>
        <w:tc>
          <w:tcPr>
            <w:tcW w:w="0" w:type="auto"/>
            <w:tcBorders>
              <w:top w:val="nil"/>
              <w:left w:val="single" w:sz="4" w:space="0" w:color="auto"/>
              <w:bottom w:val="nil"/>
              <w:right w:val="nil"/>
            </w:tcBorders>
            <w:vAlign w:val="center"/>
          </w:tcPr>
          <w:p w14:paraId="5DFE138E"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4514</w:t>
            </w:r>
          </w:p>
        </w:tc>
      </w:tr>
      <w:tr w:rsidR="008810A2" w14:paraId="611684DF" w14:textId="77777777">
        <w:trPr>
          <w:trHeight w:val="270"/>
          <w:jc w:val="center"/>
        </w:trPr>
        <w:tc>
          <w:tcPr>
            <w:tcW w:w="0" w:type="auto"/>
            <w:tcBorders>
              <w:top w:val="nil"/>
              <w:bottom w:val="nil"/>
              <w:right w:val="single" w:sz="4" w:space="0" w:color="auto"/>
            </w:tcBorders>
            <w:noWrap/>
            <w:vAlign w:val="center"/>
          </w:tcPr>
          <w:p w14:paraId="17FAEC18" w14:textId="77777777" w:rsidR="008810A2" w:rsidRDefault="00D921E0">
            <w:pPr>
              <w:spacing w:line="240" w:lineRule="auto"/>
              <w:ind w:firstLineChars="0" w:firstLine="0"/>
              <w:jc w:val="center"/>
              <w:rPr>
                <w:rFonts w:eastAsiaTheme="minorEastAsia"/>
                <w:color w:val="000000"/>
                <w:sz w:val="20"/>
                <w:szCs w:val="20"/>
              </w:rPr>
            </w:pPr>
            <w:r>
              <w:rPr>
                <w:sz w:val="20"/>
                <w:szCs w:val="20"/>
              </w:rPr>
              <w:t>山西</w:t>
            </w:r>
          </w:p>
        </w:tc>
        <w:tc>
          <w:tcPr>
            <w:tcW w:w="0" w:type="auto"/>
            <w:tcBorders>
              <w:top w:val="nil"/>
              <w:left w:val="single" w:sz="4" w:space="0" w:color="auto"/>
              <w:bottom w:val="nil"/>
              <w:right w:val="single" w:sz="4" w:space="0" w:color="auto"/>
            </w:tcBorders>
            <w:noWrap/>
            <w:vAlign w:val="center"/>
          </w:tcPr>
          <w:p w14:paraId="104025D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388723 </w:t>
            </w:r>
          </w:p>
        </w:tc>
        <w:tc>
          <w:tcPr>
            <w:tcW w:w="0" w:type="auto"/>
            <w:tcBorders>
              <w:top w:val="nil"/>
              <w:left w:val="single" w:sz="4" w:space="0" w:color="auto"/>
              <w:bottom w:val="nil"/>
              <w:right w:val="single" w:sz="4" w:space="0" w:color="auto"/>
            </w:tcBorders>
            <w:vAlign w:val="center"/>
          </w:tcPr>
          <w:p w14:paraId="07F984A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207346</w:t>
            </w:r>
          </w:p>
        </w:tc>
        <w:tc>
          <w:tcPr>
            <w:tcW w:w="0" w:type="auto"/>
            <w:tcBorders>
              <w:top w:val="nil"/>
              <w:left w:val="single" w:sz="4" w:space="0" w:color="auto"/>
              <w:bottom w:val="nil"/>
              <w:right w:val="nil"/>
            </w:tcBorders>
            <w:vAlign w:val="center"/>
          </w:tcPr>
          <w:p w14:paraId="0A61B2D6"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1721</w:t>
            </w:r>
          </w:p>
        </w:tc>
      </w:tr>
      <w:tr w:rsidR="008810A2" w14:paraId="444F93CF" w14:textId="77777777">
        <w:trPr>
          <w:trHeight w:val="270"/>
          <w:jc w:val="center"/>
        </w:trPr>
        <w:tc>
          <w:tcPr>
            <w:tcW w:w="0" w:type="auto"/>
            <w:tcBorders>
              <w:top w:val="nil"/>
              <w:bottom w:val="nil"/>
              <w:right w:val="single" w:sz="4" w:space="0" w:color="auto"/>
            </w:tcBorders>
            <w:noWrap/>
            <w:vAlign w:val="center"/>
          </w:tcPr>
          <w:p w14:paraId="37F443A4" w14:textId="77777777" w:rsidR="008810A2" w:rsidRDefault="00D921E0">
            <w:pPr>
              <w:spacing w:line="240" w:lineRule="auto"/>
              <w:ind w:firstLineChars="0" w:firstLine="0"/>
              <w:jc w:val="center"/>
              <w:rPr>
                <w:rFonts w:eastAsiaTheme="minorEastAsia"/>
                <w:color w:val="000000"/>
                <w:sz w:val="20"/>
                <w:szCs w:val="20"/>
              </w:rPr>
            </w:pPr>
            <w:r>
              <w:rPr>
                <w:sz w:val="20"/>
                <w:szCs w:val="20"/>
              </w:rPr>
              <w:t>黑龙江</w:t>
            </w:r>
          </w:p>
        </w:tc>
        <w:tc>
          <w:tcPr>
            <w:tcW w:w="0" w:type="auto"/>
            <w:tcBorders>
              <w:top w:val="nil"/>
              <w:left w:val="single" w:sz="4" w:space="0" w:color="auto"/>
              <w:bottom w:val="nil"/>
              <w:right w:val="single" w:sz="4" w:space="0" w:color="auto"/>
            </w:tcBorders>
            <w:noWrap/>
            <w:vAlign w:val="center"/>
          </w:tcPr>
          <w:p w14:paraId="30D3C23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294425 </w:t>
            </w:r>
          </w:p>
        </w:tc>
        <w:tc>
          <w:tcPr>
            <w:tcW w:w="0" w:type="auto"/>
            <w:tcBorders>
              <w:top w:val="nil"/>
              <w:left w:val="single" w:sz="4" w:space="0" w:color="auto"/>
              <w:bottom w:val="nil"/>
              <w:right w:val="single" w:sz="4" w:space="0" w:color="auto"/>
            </w:tcBorders>
            <w:vAlign w:val="center"/>
          </w:tcPr>
          <w:p w14:paraId="46CFB24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168622</w:t>
            </w:r>
          </w:p>
        </w:tc>
        <w:tc>
          <w:tcPr>
            <w:tcW w:w="0" w:type="auto"/>
            <w:tcBorders>
              <w:top w:val="nil"/>
              <w:left w:val="single" w:sz="4" w:space="0" w:color="auto"/>
              <w:bottom w:val="nil"/>
              <w:right w:val="nil"/>
            </w:tcBorders>
            <w:vAlign w:val="center"/>
          </w:tcPr>
          <w:p w14:paraId="28F7C50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1858</w:t>
            </w:r>
          </w:p>
        </w:tc>
      </w:tr>
      <w:tr w:rsidR="008810A2" w14:paraId="4CA08B94" w14:textId="77777777">
        <w:trPr>
          <w:trHeight w:val="270"/>
          <w:jc w:val="center"/>
        </w:trPr>
        <w:tc>
          <w:tcPr>
            <w:tcW w:w="0" w:type="auto"/>
            <w:tcBorders>
              <w:top w:val="nil"/>
              <w:bottom w:val="nil"/>
              <w:right w:val="single" w:sz="4" w:space="0" w:color="auto"/>
            </w:tcBorders>
            <w:noWrap/>
            <w:vAlign w:val="center"/>
          </w:tcPr>
          <w:p w14:paraId="3BE6515A" w14:textId="77777777" w:rsidR="008810A2" w:rsidRDefault="00D921E0">
            <w:pPr>
              <w:spacing w:line="240" w:lineRule="auto"/>
              <w:ind w:firstLineChars="0" w:firstLine="0"/>
              <w:jc w:val="center"/>
              <w:rPr>
                <w:rFonts w:eastAsiaTheme="minorEastAsia"/>
                <w:color w:val="000000"/>
                <w:sz w:val="20"/>
                <w:szCs w:val="20"/>
              </w:rPr>
            </w:pPr>
            <w:r>
              <w:rPr>
                <w:sz w:val="20"/>
                <w:szCs w:val="20"/>
              </w:rPr>
              <w:t>云南</w:t>
            </w:r>
          </w:p>
        </w:tc>
        <w:tc>
          <w:tcPr>
            <w:tcW w:w="0" w:type="auto"/>
            <w:tcBorders>
              <w:top w:val="nil"/>
              <w:left w:val="single" w:sz="4" w:space="0" w:color="auto"/>
              <w:bottom w:val="nil"/>
              <w:right w:val="single" w:sz="4" w:space="0" w:color="auto"/>
            </w:tcBorders>
            <w:noWrap/>
            <w:vAlign w:val="center"/>
          </w:tcPr>
          <w:p w14:paraId="0DCBCBC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283465 </w:t>
            </w:r>
          </w:p>
        </w:tc>
        <w:tc>
          <w:tcPr>
            <w:tcW w:w="0" w:type="auto"/>
            <w:tcBorders>
              <w:top w:val="nil"/>
              <w:left w:val="single" w:sz="4" w:space="0" w:color="auto"/>
              <w:bottom w:val="nil"/>
              <w:right w:val="single" w:sz="4" w:space="0" w:color="auto"/>
            </w:tcBorders>
            <w:vAlign w:val="center"/>
          </w:tcPr>
          <w:p w14:paraId="5E55623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141273</w:t>
            </w:r>
          </w:p>
        </w:tc>
        <w:tc>
          <w:tcPr>
            <w:tcW w:w="0" w:type="auto"/>
            <w:tcBorders>
              <w:top w:val="nil"/>
              <w:left w:val="single" w:sz="4" w:space="0" w:color="auto"/>
              <w:bottom w:val="nil"/>
              <w:right w:val="nil"/>
            </w:tcBorders>
            <w:vAlign w:val="center"/>
          </w:tcPr>
          <w:p w14:paraId="0CA5B86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4358</w:t>
            </w:r>
          </w:p>
        </w:tc>
      </w:tr>
      <w:tr w:rsidR="008810A2" w14:paraId="11B81359" w14:textId="77777777">
        <w:trPr>
          <w:trHeight w:val="270"/>
          <w:jc w:val="center"/>
        </w:trPr>
        <w:tc>
          <w:tcPr>
            <w:tcW w:w="0" w:type="auto"/>
            <w:tcBorders>
              <w:top w:val="nil"/>
              <w:bottom w:val="nil"/>
              <w:right w:val="single" w:sz="4" w:space="0" w:color="auto"/>
            </w:tcBorders>
            <w:noWrap/>
            <w:vAlign w:val="center"/>
          </w:tcPr>
          <w:p w14:paraId="46179B23" w14:textId="77777777" w:rsidR="008810A2" w:rsidRDefault="00D921E0">
            <w:pPr>
              <w:spacing w:line="240" w:lineRule="auto"/>
              <w:ind w:firstLineChars="0" w:firstLine="0"/>
              <w:jc w:val="center"/>
              <w:rPr>
                <w:rFonts w:eastAsiaTheme="minorEastAsia"/>
                <w:color w:val="000000"/>
                <w:sz w:val="20"/>
                <w:szCs w:val="20"/>
              </w:rPr>
            </w:pPr>
            <w:r>
              <w:rPr>
                <w:sz w:val="20"/>
                <w:szCs w:val="20"/>
              </w:rPr>
              <w:t>天津</w:t>
            </w:r>
          </w:p>
        </w:tc>
        <w:tc>
          <w:tcPr>
            <w:tcW w:w="0" w:type="auto"/>
            <w:tcBorders>
              <w:top w:val="nil"/>
              <w:left w:val="single" w:sz="4" w:space="0" w:color="auto"/>
              <w:bottom w:val="nil"/>
              <w:right w:val="single" w:sz="4" w:space="0" w:color="auto"/>
            </w:tcBorders>
            <w:noWrap/>
            <w:vAlign w:val="center"/>
          </w:tcPr>
          <w:p w14:paraId="12A7568C"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205232 </w:t>
            </w:r>
          </w:p>
        </w:tc>
        <w:tc>
          <w:tcPr>
            <w:tcW w:w="0" w:type="auto"/>
            <w:tcBorders>
              <w:top w:val="nil"/>
              <w:left w:val="single" w:sz="4" w:space="0" w:color="auto"/>
              <w:bottom w:val="nil"/>
              <w:right w:val="single" w:sz="4" w:space="0" w:color="auto"/>
            </w:tcBorders>
            <w:vAlign w:val="center"/>
          </w:tcPr>
          <w:p w14:paraId="38B0019E"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75504</w:t>
            </w:r>
          </w:p>
        </w:tc>
        <w:tc>
          <w:tcPr>
            <w:tcW w:w="0" w:type="auto"/>
            <w:tcBorders>
              <w:top w:val="nil"/>
              <w:left w:val="single" w:sz="4" w:space="0" w:color="auto"/>
              <w:bottom w:val="nil"/>
              <w:right w:val="nil"/>
            </w:tcBorders>
            <w:vAlign w:val="center"/>
          </w:tcPr>
          <w:p w14:paraId="533ACC2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1086</w:t>
            </w:r>
          </w:p>
        </w:tc>
      </w:tr>
      <w:tr w:rsidR="008810A2" w14:paraId="00B0F0A0" w14:textId="77777777">
        <w:trPr>
          <w:trHeight w:val="270"/>
          <w:jc w:val="center"/>
        </w:trPr>
        <w:tc>
          <w:tcPr>
            <w:tcW w:w="0" w:type="auto"/>
            <w:tcBorders>
              <w:top w:val="nil"/>
              <w:bottom w:val="nil"/>
              <w:right w:val="single" w:sz="4" w:space="0" w:color="auto"/>
            </w:tcBorders>
            <w:noWrap/>
            <w:vAlign w:val="center"/>
          </w:tcPr>
          <w:p w14:paraId="5DCB02DD" w14:textId="77777777" w:rsidR="008810A2" w:rsidRDefault="00D921E0">
            <w:pPr>
              <w:spacing w:line="240" w:lineRule="auto"/>
              <w:ind w:firstLineChars="0" w:firstLine="0"/>
              <w:jc w:val="center"/>
              <w:rPr>
                <w:rFonts w:eastAsiaTheme="minorEastAsia"/>
                <w:color w:val="000000"/>
                <w:sz w:val="20"/>
                <w:szCs w:val="20"/>
              </w:rPr>
            </w:pPr>
            <w:r>
              <w:rPr>
                <w:sz w:val="20"/>
                <w:szCs w:val="20"/>
              </w:rPr>
              <w:t>海南</w:t>
            </w:r>
          </w:p>
        </w:tc>
        <w:tc>
          <w:tcPr>
            <w:tcW w:w="0" w:type="auto"/>
            <w:tcBorders>
              <w:top w:val="nil"/>
              <w:left w:val="single" w:sz="4" w:space="0" w:color="auto"/>
              <w:bottom w:val="nil"/>
              <w:right w:val="single" w:sz="4" w:space="0" w:color="auto"/>
            </w:tcBorders>
            <w:noWrap/>
            <w:vAlign w:val="center"/>
          </w:tcPr>
          <w:p w14:paraId="5039C7B4"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178303 </w:t>
            </w:r>
          </w:p>
        </w:tc>
        <w:tc>
          <w:tcPr>
            <w:tcW w:w="0" w:type="auto"/>
            <w:tcBorders>
              <w:top w:val="nil"/>
              <w:left w:val="single" w:sz="4" w:space="0" w:color="auto"/>
              <w:bottom w:val="nil"/>
              <w:right w:val="single" w:sz="4" w:space="0" w:color="auto"/>
            </w:tcBorders>
            <w:vAlign w:val="center"/>
          </w:tcPr>
          <w:p w14:paraId="53AF220D"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93885</w:t>
            </w:r>
          </w:p>
        </w:tc>
        <w:tc>
          <w:tcPr>
            <w:tcW w:w="0" w:type="auto"/>
            <w:tcBorders>
              <w:top w:val="nil"/>
              <w:left w:val="single" w:sz="4" w:space="0" w:color="auto"/>
              <w:bottom w:val="nil"/>
              <w:right w:val="nil"/>
            </w:tcBorders>
            <w:vAlign w:val="center"/>
          </w:tcPr>
          <w:p w14:paraId="00BA2884"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879</w:t>
            </w:r>
          </w:p>
        </w:tc>
      </w:tr>
      <w:tr w:rsidR="008810A2" w14:paraId="42126B0D" w14:textId="77777777">
        <w:trPr>
          <w:trHeight w:val="270"/>
          <w:jc w:val="center"/>
        </w:trPr>
        <w:tc>
          <w:tcPr>
            <w:tcW w:w="0" w:type="auto"/>
            <w:tcBorders>
              <w:top w:val="nil"/>
              <w:bottom w:val="nil"/>
              <w:right w:val="single" w:sz="4" w:space="0" w:color="auto"/>
            </w:tcBorders>
            <w:noWrap/>
            <w:vAlign w:val="center"/>
          </w:tcPr>
          <w:p w14:paraId="1F0BE519" w14:textId="77777777" w:rsidR="008810A2" w:rsidRDefault="00D921E0">
            <w:pPr>
              <w:spacing w:line="240" w:lineRule="auto"/>
              <w:ind w:firstLineChars="0" w:firstLine="0"/>
              <w:jc w:val="center"/>
              <w:rPr>
                <w:rFonts w:eastAsiaTheme="minorEastAsia"/>
                <w:color w:val="000000"/>
                <w:sz w:val="20"/>
                <w:szCs w:val="20"/>
              </w:rPr>
            </w:pPr>
            <w:r>
              <w:rPr>
                <w:sz w:val="20"/>
                <w:szCs w:val="20"/>
              </w:rPr>
              <w:t>吉林</w:t>
            </w:r>
          </w:p>
        </w:tc>
        <w:tc>
          <w:tcPr>
            <w:tcW w:w="0" w:type="auto"/>
            <w:tcBorders>
              <w:top w:val="nil"/>
              <w:left w:val="single" w:sz="4" w:space="0" w:color="auto"/>
              <w:bottom w:val="nil"/>
              <w:right w:val="single" w:sz="4" w:space="0" w:color="auto"/>
            </w:tcBorders>
            <w:noWrap/>
            <w:vAlign w:val="center"/>
          </w:tcPr>
          <w:p w14:paraId="2660AD3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170489 </w:t>
            </w:r>
          </w:p>
        </w:tc>
        <w:tc>
          <w:tcPr>
            <w:tcW w:w="0" w:type="auto"/>
            <w:tcBorders>
              <w:top w:val="nil"/>
              <w:left w:val="single" w:sz="4" w:space="0" w:color="auto"/>
              <w:bottom w:val="nil"/>
              <w:right w:val="single" w:sz="4" w:space="0" w:color="auto"/>
            </w:tcBorders>
            <w:vAlign w:val="center"/>
          </w:tcPr>
          <w:p w14:paraId="65E0BEF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102668</w:t>
            </w:r>
          </w:p>
        </w:tc>
        <w:tc>
          <w:tcPr>
            <w:tcW w:w="0" w:type="auto"/>
            <w:tcBorders>
              <w:top w:val="nil"/>
              <w:left w:val="single" w:sz="4" w:space="0" w:color="auto"/>
              <w:bottom w:val="nil"/>
              <w:right w:val="nil"/>
            </w:tcBorders>
            <w:vAlign w:val="center"/>
          </w:tcPr>
          <w:p w14:paraId="7A0C39CD"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1370</w:t>
            </w:r>
          </w:p>
        </w:tc>
      </w:tr>
      <w:tr w:rsidR="008810A2" w14:paraId="23944450" w14:textId="77777777">
        <w:trPr>
          <w:trHeight w:val="270"/>
          <w:jc w:val="center"/>
        </w:trPr>
        <w:tc>
          <w:tcPr>
            <w:tcW w:w="0" w:type="auto"/>
            <w:tcBorders>
              <w:top w:val="nil"/>
              <w:bottom w:val="nil"/>
              <w:right w:val="single" w:sz="4" w:space="0" w:color="auto"/>
            </w:tcBorders>
            <w:noWrap/>
            <w:vAlign w:val="center"/>
          </w:tcPr>
          <w:p w14:paraId="57A1BC0B" w14:textId="77777777" w:rsidR="008810A2" w:rsidRDefault="00D921E0">
            <w:pPr>
              <w:spacing w:line="240" w:lineRule="auto"/>
              <w:ind w:firstLineChars="0" w:firstLine="0"/>
              <w:jc w:val="center"/>
              <w:rPr>
                <w:rFonts w:eastAsiaTheme="minorEastAsia"/>
                <w:color w:val="000000"/>
                <w:sz w:val="20"/>
                <w:szCs w:val="20"/>
              </w:rPr>
            </w:pPr>
            <w:r>
              <w:rPr>
                <w:sz w:val="20"/>
                <w:szCs w:val="20"/>
              </w:rPr>
              <w:t>甘肃</w:t>
            </w:r>
          </w:p>
        </w:tc>
        <w:tc>
          <w:tcPr>
            <w:tcW w:w="0" w:type="auto"/>
            <w:tcBorders>
              <w:top w:val="nil"/>
              <w:left w:val="single" w:sz="4" w:space="0" w:color="auto"/>
              <w:bottom w:val="nil"/>
              <w:right w:val="single" w:sz="4" w:space="0" w:color="auto"/>
            </w:tcBorders>
            <w:noWrap/>
            <w:vAlign w:val="center"/>
          </w:tcPr>
          <w:p w14:paraId="72B7E88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154546 </w:t>
            </w:r>
          </w:p>
        </w:tc>
        <w:tc>
          <w:tcPr>
            <w:tcW w:w="0" w:type="auto"/>
            <w:tcBorders>
              <w:top w:val="nil"/>
              <w:left w:val="single" w:sz="4" w:space="0" w:color="auto"/>
              <w:bottom w:val="nil"/>
              <w:right w:val="single" w:sz="4" w:space="0" w:color="auto"/>
            </w:tcBorders>
            <w:vAlign w:val="center"/>
          </w:tcPr>
          <w:p w14:paraId="146090E3"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98029</w:t>
            </w:r>
          </w:p>
        </w:tc>
        <w:tc>
          <w:tcPr>
            <w:tcW w:w="0" w:type="auto"/>
            <w:tcBorders>
              <w:top w:val="nil"/>
              <w:left w:val="single" w:sz="4" w:space="0" w:color="auto"/>
              <w:bottom w:val="nil"/>
              <w:right w:val="nil"/>
            </w:tcBorders>
            <w:vAlign w:val="center"/>
          </w:tcPr>
          <w:p w14:paraId="57A3021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1280</w:t>
            </w:r>
          </w:p>
        </w:tc>
      </w:tr>
      <w:tr w:rsidR="008810A2" w14:paraId="5D1512BB" w14:textId="77777777">
        <w:trPr>
          <w:trHeight w:val="270"/>
          <w:jc w:val="center"/>
        </w:trPr>
        <w:tc>
          <w:tcPr>
            <w:tcW w:w="0" w:type="auto"/>
            <w:tcBorders>
              <w:top w:val="nil"/>
              <w:bottom w:val="nil"/>
              <w:right w:val="single" w:sz="4" w:space="0" w:color="auto"/>
            </w:tcBorders>
            <w:noWrap/>
            <w:vAlign w:val="center"/>
          </w:tcPr>
          <w:p w14:paraId="0A0D72A1" w14:textId="77777777" w:rsidR="008810A2" w:rsidRDefault="00D921E0">
            <w:pPr>
              <w:spacing w:line="240" w:lineRule="auto"/>
              <w:ind w:firstLineChars="0" w:firstLine="0"/>
              <w:jc w:val="center"/>
              <w:rPr>
                <w:rFonts w:eastAsiaTheme="minorEastAsia"/>
                <w:color w:val="000000"/>
                <w:sz w:val="20"/>
                <w:szCs w:val="20"/>
              </w:rPr>
            </w:pPr>
            <w:r>
              <w:rPr>
                <w:sz w:val="20"/>
                <w:szCs w:val="20"/>
              </w:rPr>
              <w:t>内蒙古</w:t>
            </w:r>
          </w:p>
        </w:tc>
        <w:tc>
          <w:tcPr>
            <w:tcW w:w="0" w:type="auto"/>
            <w:tcBorders>
              <w:top w:val="nil"/>
              <w:left w:val="single" w:sz="4" w:space="0" w:color="auto"/>
              <w:bottom w:val="nil"/>
              <w:right w:val="single" w:sz="4" w:space="0" w:color="auto"/>
            </w:tcBorders>
            <w:noWrap/>
            <w:vAlign w:val="center"/>
          </w:tcPr>
          <w:p w14:paraId="40F33B7E"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130333 </w:t>
            </w:r>
          </w:p>
        </w:tc>
        <w:tc>
          <w:tcPr>
            <w:tcW w:w="0" w:type="auto"/>
            <w:tcBorders>
              <w:top w:val="nil"/>
              <w:left w:val="single" w:sz="4" w:space="0" w:color="auto"/>
              <w:bottom w:val="nil"/>
              <w:right w:val="single" w:sz="4" w:space="0" w:color="auto"/>
            </w:tcBorders>
            <w:vAlign w:val="center"/>
          </w:tcPr>
          <w:p w14:paraId="4E3E22A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64039</w:t>
            </w:r>
          </w:p>
        </w:tc>
        <w:tc>
          <w:tcPr>
            <w:tcW w:w="0" w:type="auto"/>
            <w:tcBorders>
              <w:top w:val="nil"/>
              <w:left w:val="single" w:sz="4" w:space="0" w:color="auto"/>
              <w:bottom w:val="nil"/>
              <w:right w:val="nil"/>
            </w:tcBorders>
            <w:vAlign w:val="center"/>
          </w:tcPr>
          <w:p w14:paraId="40C4E86A"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1594</w:t>
            </w:r>
          </w:p>
        </w:tc>
      </w:tr>
      <w:tr w:rsidR="008810A2" w14:paraId="5332856F" w14:textId="77777777">
        <w:trPr>
          <w:trHeight w:val="270"/>
          <w:jc w:val="center"/>
        </w:trPr>
        <w:tc>
          <w:tcPr>
            <w:tcW w:w="0" w:type="auto"/>
            <w:tcBorders>
              <w:top w:val="nil"/>
              <w:bottom w:val="nil"/>
              <w:right w:val="single" w:sz="4" w:space="0" w:color="auto"/>
            </w:tcBorders>
            <w:noWrap/>
            <w:vAlign w:val="center"/>
          </w:tcPr>
          <w:p w14:paraId="0C7C832D" w14:textId="77777777" w:rsidR="008810A2" w:rsidRDefault="00D921E0">
            <w:pPr>
              <w:spacing w:line="240" w:lineRule="auto"/>
              <w:ind w:firstLineChars="0" w:firstLine="0"/>
              <w:jc w:val="center"/>
              <w:rPr>
                <w:rFonts w:eastAsiaTheme="minorEastAsia"/>
                <w:color w:val="000000"/>
                <w:sz w:val="20"/>
                <w:szCs w:val="20"/>
              </w:rPr>
            </w:pPr>
            <w:r>
              <w:rPr>
                <w:sz w:val="20"/>
                <w:szCs w:val="20"/>
              </w:rPr>
              <w:t>新疆</w:t>
            </w:r>
          </w:p>
        </w:tc>
        <w:tc>
          <w:tcPr>
            <w:tcW w:w="0" w:type="auto"/>
            <w:tcBorders>
              <w:top w:val="nil"/>
              <w:left w:val="single" w:sz="4" w:space="0" w:color="auto"/>
              <w:bottom w:val="nil"/>
              <w:right w:val="single" w:sz="4" w:space="0" w:color="auto"/>
            </w:tcBorders>
            <w:noWrap/>
            <w:vAlign w:val="center"/>
          </w:tcPr>
          <w:p w14:paraId="1FC116C3"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79265 </w:t>
            </w:r>
          </w:p>
        </w:tc>
        <w:tc>
          <w:tcPr>
            <w:tcW w:w="0" w:type="auto"/>
            <w:tcBorders>
              <w:top w:val="nil"/>
              <w:left w:val="single" w:sz="4" w:space="0" w:color="auto"/>
              <w:bottom w:val="nil"/>
              <w:right w:val="single" w:sz="4" w:space="0" w:color="auto"/>
            </w:tcBorders>
            <w:vAlign w:val="center"/>
          </w:tcPr>
          <w:p w14:paraId="4D93004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43485</w:t>
            </w:r>
          </w:p>
        </w:tc>
        <w:tc>
          <w:tcPr>
            <w:tcW w:w="0" w:type="auto"/>
            <w:tcBorders>
              <w:top w:val="nil"/>
              <w:left w:val="single" w:sz="4" w:space="0" w:color="auto"/>
              <w:bottom w:val="nil"/>
              <w:right w:val="nil"/>
            </w:tcBorders>
            <w:vAlign w:val="center"/>
          </w:tcPr>
          <w:p w14:paraId="1B7E313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832</w:t>
            </w:r>
          </w:p>
        </w:tc>
      </w:tr>
      <w:tr w:rsidR="008810A2" w14:paraId="17BD4F86" w14:textId="77777777">
        <w:trPr>
          <w:trHeight w:val="270"/>
          <w:jc w:val="center"/>
        </w:trPr>
        <w:tc>
          <w:tcPr>
            <w:tcW w:w="0" w:type="auto"/>
            <w:tcBorders>
              <w:top w:val="nil"/>
              <w:bottom w:val="nil"/>
              <w:right w:val="single" w:sz="4" w:space="0" w:color="auto"/>
            </w:tcBorders>
            <w:noWrap/>
            <w:vAlign w:val="center"/>
          </w:tcPr>
          <w:p w14:paraId="5435E298" w14:textId="77777777" w:rsidR="008810A2" w:rsidRDefault="00D921E0">
            <w:pPr>
              <w:spacing w:line="240" w:lineRule="auto"/>
              <w:ind w:firstLineChars="0" w:firstLine="0"/>
              <w:jc w:val="center"/>
              <w:rPr>
                <w:rFonts w:eastAsiaTheme="minorEastAsia"/>
                <w:color w:val="000000"/>
                <w:sz w:val="20"/>
                <w:szCs w:val="20"/>
              </w:rPr>
            </w:pPr>
            <w:r>
              <w:rPr>
                <w:sz w:val="20"/>
                <w:szCs w:val="20"/>
              </w:rPr>
              <w:t>宁夏</w:t>
            </w:r>
          </w:p>
        </w:tc>
        <w:tc>
          <w:tcPr>
            <w:tcW w:w="0" w:type="auto"/>
            <w:tcBorders>
              <w:top w:val="nil"/>
              <w:left w:val="single" w:sz="4" w:space="0" w:color="auto"/>
              <w:bottom w:val="nil"/>
              <w:right w:val="single" w:sz="4" w:space="0" w:color="auto"/>
            </w:tcBorders>
            <w:noWrap/>
            <w:vAlign w:val="center"/>
          </w:tcPr>
          <w:p w14:paraId="3242B0F2"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37858 </w:t>
            </w:r>
          </w:p>
        </w:tc>
        <w:tc>
          <w:tcPr>
            <w:tcW w:w="0" w:type="auto"/>
            <w:tcBorders>
              <w:top w:val="nil"/>
              <w:left w:val="single" w:sz="4" w:space="0" w:color="auto"/>
              <w:bottom w:val="nil"/>
              <w:right w:val="single" w:sz="4" w:space="0" w:color="auto"/>
            </w:tcBorders>
            <w:vAlign w:val="center"/>
          </w:tcPr>
          <w:p w14:paraId="438AF19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19276</w:t>
            </w:r>
          </w:p>
        </w:tc>
        <w:tc>
          <w:tcPr>
            <w:tcW w:w="0" w:type="auto"/>
            <w:tcBorders>
              <w:top w:val="nil"/>
              <w:left w:val="single" w:sz="4" w:space="0" w:color="auto"/>
              <w:bottom w:val="nil"/>
              <w:right w:val="nil"/>
            </w:tcBorders>
            <w:vAlign w:val="center"/>
          </w:tcPr>
          <w:p w14:paraId="4462A76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488</w:t>
            </w:r>
          </w:p>
        </w:tc>
      </w:tr>
      <w:tr w:rsidR="008810A2" w14:paraId="5810E226" w14:textId="77777777">
        <w:trPr>
          <w:trHeight w:val="270"/>
          <w:jc w:val="center"/>
        </w:trPr>
        <w:tc>
          <w:tcPr>
            <w:tcW w:w="0" w:type="auto"/>
            <w:tcBorders>
              <w:top w:val="nil"/>
              <w:bottom w:val="nil"/>
              <w:right w:val="single" w:sz="4" w:space="0" w:color="auto"/>
            </w:tcBorders>
            <w:noWrap/>
            <w:vAlign w:val="center"/>
          </w:tcPr>
          <w:p w14:paraId="54A07C21" w14:textId="77777777" w:rsidR="008810A2" w:rsidRDefault="00D921E0">
            <w:pPr>
              <w:spacing w:line="240" w:lineRule="auto"/>
              <w:ind w:firstLineChars="0" w:firstLine="0"/>
              <w:jc w:val="center"/>
              <w:rPr>
                <w:rFonts w:eastAsiaTheme="minorEastAsia"/>
                <w:color w:val="000000"/>
                <w:sz w:val="20"/>
                <w:szCs w:val="20"/>
              </w:rPr>
            </w:pPr>
            <w:r>
              <w:rPr>
                <w:sz w:val="20"/>
                <w:szCs w:val="20"/>
              </w:rPr>
              <w:t>青海</w:t>
            </w:r>
          </w:p>
        </w:tc>
        <w:tc>
          <w:tcPr>
            <w:tcW w:w="0" w:type="auto"/>
            <w:tcBorders>
              <w:top w:val="nil"/>
              <w:left w:val="single" w:sz="4" w:space="0" w:color="auto"/>
              <w:bottom w:val="nil"/>
              <w:right w:val="single" w:sz="4" w:space="0" w:color="auto"/>
            </w:tcBorders>
            <w:noWrap/>
            <w:vAlign w:val="center"/>
          </w:tcPr>
          <w:p w14:paraId="2BC6DD86"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21534 </w:t>
            </w:r>
          </w:p>
        </w:tc>
        <w:tc>
          <w:tcPr>
            <w:tcW w:w="0" w:type="auto"/>
            <w:tcBorders>
              <w:top w:val="nil"/>
              <w:left w:val="single" w:sz="4" w:space="0" w:color="auto"/>
              <w:bottom w:val="nil"/>
              <w:right w:val="single" w:sz="4" w:space="0" w:color="auto"/>
            </w:tcBorders>
            <w:vAlign w:val="center"/>
          </w:tcPr>
          <w:p w14:paraId="072D27DD"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11753</w:t>
            </w:r>
          </w:p>
        </w:tc>
        <w:tc>
          <w:tcPr>
            <w:tcW w:w="0" w:type="auto"/>
            <w:tcBorders>
              <w:top w:val="nil"/>
              <w:left w:val="single" w:sz="4" w:space="0" w:color="auto"/>
              <w:bottom w:val="nil"/>
              <w:right w:val="nil"/>
            </w:tcBorders>
            <w:vAlign w:val="center"/>
          </w:tcPr>
          <w:p w14:paraId="6A5EF604"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473</w:t>
            </w:r>
          </w:p>
        </w:tc>
      </w:tr>
      <w:tr w:rsidR="008810A2" w14:paraId="2C7E7942" w14:textId="77777777">
        <w:trPr>
          <w:trHeight w:val="270"/>
          <w:jc w:val="center"/>
        </w:trPr>
        <w:tc>
          <w:tcPr>
            <w:tcW w:w="0" w:type="auto"/>
            <w:tcBorders>
              <w:top w:val="nil"/>
              <w:bottom w:val="nil"/>
              <w:right w:val="single" w:sz="4" w:space="0" w:color="auto"/>
            </w:tcBorders>
            <w:noWrap/>
            <w:vAlign w:val="center"/>
          </w:tcPr>
          <w:p w14:paraId="1AC0BED2" w14:textId="77777777" w:rsidR="008810A2" w:rsidRDefault="00D921E0">
            <w:pPr>
              <w:spacing w:line="240" w:lineRule="auto"/>
              <w:ind w:firstLineChars="0" w:firstLine="0"/>
              <w:jc w:val="center"/>
              <w:rPr>
                <w:rFonts w:eastAsiaTheme="minorEastAsia"/>
                <w:color w:val="000000"/>
                <w:sz w:val="20"/>
                <w:szCs w:val="20"/>
              </w:rPr>
            </w:pPr>
            <w:r>
              <w:rPr>
                <w:sz w:val="20"/>
                <w:szCs w:val="20"/>
              </w:rPr>
              <w:t>西藏</w:t>
            </w:r>
          </w:p>
        </w:tc>
        <w:tc>
          <w:tcPr>
            <w:tcW w:w="0" w:type="auto"/>
            <w:tcBorders>
              <w:top w:val="nil"/>
              <w:left w:val="single" w:sz="4" w:space="0" w:color="auto"/>
              <w:bottom w:val="nil"/>
              <w:right w:val="single" w:sz="4" w:space="0" w:color="auto"/>
            </w:tcBorders>
            <w:noWrap/>
            <w:vAlign w:val="center"/>
          </w:tcPr>
          <w:p w14:paraId="6F65512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9170 </w:t>
            </w:r>
          </w:p>
        </w:tc>
        <w:tc>
          <w:tcPr>
            <w:tcW w:w="0" w:type="auto"/>
            <w:tcBorders>
              <w:top w:val="nil"/>
              <w:left w:val="single" w:sz="4" w:space="0" w:color="auto"/>
              <w:bottom w:val="nil"/>
              <w:right w:val="single" w:sz="4" w:space="0" w:color="auto"/>
            </w:tcBorders>
            <w:vAlign w:val="center"/>
          </w:tcPr>
          <w:p w14:paraId="1CE767B1"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2883</w:t>
            </w:r>
          </w:p>
        </w:tc>
        <w:tc>
          <w:tcPr>
            <w:tcW w:w="0" w:type="auto"/>
            <w:tcBorders>
              <w:top w:val="nil"/>
              <w:left w:val="single" w:sz="4" w:space="0" w:color="auto"/>
              <w:bottom w:val="nil"/>
              <w:right w:val="nil"/>
            </w:tcBorders>
            <w:vAlign w:val="center"/>
          </w:tcPr>
          <w:p w14:paraId="7481A406"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504</w:t>
            </w:r>
          </w:p>
        </w:tc>
      </w:tr>
      <w:tr w:rsidR="008810A2" w14:paraId="42F14E22" w14:textId="77777777">
        <w:trPr>
          <w:trHeight w:val="270"/>
          <w:jc w:val="center"/>
        </w:trPr>
        <w:tc>
          <w:tcPr>
            <w:tcW w:w="0" w:type="auto"/>
            <w:tcBorders>
              <w:top w:val="nil"/>
              <w:bottom w:val="nil"/>
              <w:right w:val="single" w:sz="4" w:space="0" w:color="auto"/>
            </w:tcBorders>
            <w:noWrap/>
            <w:vAlign w:val="center"/>
          </w:tcPr>
          <w:p w14:paraId="0AFEB538" w14:textId="77777777" w:rsidR="008810A2" w:rsidRDefault="00D921E0">
            <w:pPr>
              <w:spacing w:line="240" w:lineRule="auto"/>
              <w:ind w:firstLineChars="0" w:firstLine="0"/>
              <w:jc w:val="center"/>
              <w:rPr>
                <w:rFonts w:eastAsiaTheme="minorEastAsia"/>
                <w:color w:val="000000"/>
                <w:sz w:val="20"/>
                <w:szCs w:val="20"/>
              </w:rPr>
            </w:pPr>
            <w:r>
              <w:rPr>
                <w:sz w:val="20"/>
                <w:szCs w:val="20"/>
              </w:rPr>
              <w:t>其他</w:t>
            </w:r>
          </w:p>
        </w:tc>
        <w:tc>
          <w:tcPr>
            <w:tcW w:w="0" w:type="auto"/>
            <w:tcBorders>
              <w:top w:val="nil"/>
              <w:left w:val="single" w:sz="4" w:space="0" w:color="auto"/>
              <w:bottom w:val="nil"/>
              <w:right w:val="single" w:sz="4" w:space="0" w:color="auto"/>
            </w:tcBorders>
            <w:noWrap/>
            <w:vAlign w:val="center"/>
          </w:tcPr>
          <w:p w14:paraId="687AC97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551578 </w:t>
            </w:r>
          </w:p>
        </w:tc>
        <w:tc>
          <w:tcPr>
            <w:tcW w:w="0" w:type="auto"/>
            <w:tcBorders>
              <w:top w:val="nil"/>
              <w:left w:val="single" w:sz="4" w:space="0" w:color="auto"/>
              <w:bottom w:val="nil"/>
              <w:right w:val="single" w:sz="4" w:space="0" w:color="auto"/>
            </w:tcBorders>
            <w:vAlign w:val="center"/>
          </w:tcPr>
          <w:p w14:paraId="498F7C7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326943</w:t>
            </w:r>
          </w:p>
        </w:tc>
        <w:tc>
          <w:tcPr>
            <w:tcW w:w="0" w:type="auto"/>
            <w:tcBorders>
              <w:top w:val="nil"/>
              <w:left w:val="single" w:sz="4" w:space="0" w:color="auto"/>
              <w:bottom w:val="nil"/>
              <w:right w:val="nil"/>
            </w:tcBorders>
            <w:vAlign w:val="center"/>
          </w:tcPr>
          <w:p w14:paraId="20A7082C"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12310</w:t>
            </w:r>
          </w:p>
        </w:tc>
      </w:tr>
      <w:tr w:rsidR="008810A2" w14:paraId="16DC4BF1" w14:textId="77777777">
        <w:trPr>
          <w:trHeight w:val="270"/>
          <w:jc w:val="center"/>
        </w:trPr>
        <w:tc>
          <w:tcPr>
            <w:tcW w:w="0" w:type="auto"/>
            <w:tcBorders>
              <w:top w:val="nil"/>
              <w:right w:val="single" w:sz="4" w:space="0" w:color="auto"/>
            </w:tcBorders>
            <w:noWrap/>
            <w:vAlign w:val="center"/>
          </w:tcPr>
          <w:p w14:paraId="3E4F5980" w14:textId="77777777" w:rsidR="008810A2" w:rsidRDefault="00D921E0">
            <w:pPr>
              <w:spacing w:line="240" w:lineRule="auto"/>
              <w:ind w:firstLineChars="0" w:firstLine="0"/>
              <w:jc w:val="center"/>
              <w:rPr>
                <w:rFonts w:eastAsiaTheme="minorEastAsia"/>
                <w:color w:val="000000"/>
                <w:sz w:val="20"/>
                <w:szCs w:val="20"/>
              </w:rPr>
            </w:pPr>
            <w:r>
              <w:rPr>
                <w:sz w:val="20"/>
                <w:szCs w:val="20"/>
              </w:rPr>
              <w:t>合计</w:t>
            </w:r>
          </w:p>
        </w:tc>
        <w:tc>
          <w:tcPr>
            <w:tcW w:w="0" w:type="auto"/>
            <w:tcBorders>
              <w:top w:val="nil"/>
              <w:left w:val="single" w:sz="4" w:space="0" w:color="auto"/>
              <w:right w:val="single" w:sz="4" w:space="0" w:color="auto"/>
            </w:tcBorders>
            <w:noWrap/>
            <w:vAlign w:val="center"/>
          </w:tcPr>
          <w:p w14:paraId="0529539A"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31871959 </w:t>
            </w:r>
          </w:p>
        </w:tc>
        <w:tc>
          <w:tcPr>
            <w:tcW w:w="0" w:type="auto"/>
            <w:tcBorders>
              <w:top w:val="nil"/>
              <w:left w:val="single" w:sz="4" w:space="0" w:color="auto"/>
              <w:right w:val="single" w:sz="4" w:space="0" w:color="auto"/>
            </w:tcBorders>
            <w:vAlign w:val="center"/>
          </w:tcPr>
          <w:p w14:paraId="1D78F51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19562007</w:t>
            </w:r>
          </w:p>
        </w:tc>
        <w:tc>
          <w:tcPr>
            <w:tcW w:w="0" w:type="auto"/>
            <w:tcBorders>
              <w:top w:val="nil"/>
              <w:left w:val="single" w:sz="4" w:space="0" w:color="auto"/>
              <w:right w:val="nil"/>
            </w:tcBorders>
            <w:vAlign w:val="center"/>
          </w:tcPr>
          <w:p w14:paraId="445F4B6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171090</w:t>
            </w:r>
          </w:p>
        </w:tc>
      </w:tr>
    </w:tbl>
    <w:p w14:paraId="1C5A25C2"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数据来源：</w:t>
      </w:r>
      <w:r>
        <w:rPr>
          <w:i/>
          <w:iCs/>
          <w:color w:val="000000" w:themeColor="text1"/>
          <w:kern w:val="0"/>
        </w:rPr>
        <w:t>CNNIC</w:t>
      </w:r>
    </w:p>
    <w:p w14:paraId="496748B6" w14:textId="77777777" w:rsidR="008810A2" w:rsidRDefault="00D921E0">
      <w:pPr>
        <w:spacing w:line="240" w:lineRule="auto"/>
        <w:ind w:firstLineChars="0" w:firstLine="0"/>
        <w:rPr>
          <w:rFonts w:cs="宋体"/>
          <w:i/>
          <w:color w:val="000000" w:themeColor="text1"/>
        </w:rPr>
      </w:pPr>
      <w:r>
        <w:rPr>
          <w:rFonts w:cs="宋体" w:hint="eastAsia"/>
          <w:i/>
          <w:color w:val="000000" w:themeColor="text1"/>
        </w:rPr>
        <w:t>注</w:t>
      </w:r>
      <w:r>
        <w:rPr>
          <w:rFonts w:cs="宋体" w:hint="eastAsia"/>
          <w:i/>
          <w:color w:val="000000" w:themeColor="text1"/>
        </w:rPr>
        <w:t>1</w:t>
      </w:r>
      <w:r>
        <w:rPr>
          <w:rFonts w:cs="宋体" w:hint="eastAsia"/>
          <w:i/>
          <w:color w:val="000000" w:themeColor="text1"/>
        </w:rPr>
        <w:t>：其他是指中国内地（大陆）以外的国家或者地区，以及无法判定注册者所在地的域名；</w:t>
      </w:r>
    </w:p>
    <w:p w14:paraId="1A5D41AA" w14:textId="77777777" w:rsidR="008810A2" w:rsidRDefault="00D921E0">
      <w:pPr>
        <w:spacing w:line="240" w:lineRule="auto"/>
        <w:ind w:firstLineChars="0" w:firstLine="0"/>
        <w:rPr>
          <w:rFonts w:cs="宋体"/>
          <w:i/>
          <w:color w:val="000000" w:themeColor="text1"/>
        </w:rPr>
      </w:pPr>
      <w:r>
        <w:rPr>
          <w:rFonts w:cs="宋体" w:hint="eastAsia"/>
          <w:i/>
          <w:color w:val="000000" w:themeColor="text1"/>
        </w:rPr>
        <w:t>注</w:t>
      </w:r>
      <w:r>
        <w:rPr>
          <w:rFonts w:cs="宋体" w:hint="eastAsia"/>
          <w:i/>
          <w:color w:val="000000" w:themeColor="text1"/>
        </w:rPr>
        <w:t>2</w:t>
      </w:r>
      <w:r>
        <w:rPr>
          <w:rFonts w:cs="宋体" w:hint="eastAsia"/>
          <w:i/>
          <w:color w:val="000000" w:themeColor="text1"/>
        </w:rPr>
        <w:t>：以上数据统计截止日期为</w:t>
      </w:r>
      <w:r>
        <w:rPr>
          <w:rFonts w:cs="宋体" w:hint="eastAsia"/>
          <w:i/>
          <w:iCs/>
          <w:color w:val="000000" w:themeColor="text1"/>
          <w:kern w:val="0"/>
        </w:rPr>
        <w:t>202</w:t>
      </w:r>
      <w:r>
        <w:rPr>
          <w:rFonts w:cs="宋体"/>
          <w:i/>
          <w:iCs/>
          <w:color w:val="000000" w:themeColor="text1"/>
          <w:kern w:val="0"/>
        </w:rPr>
        <w:t>4</w:t>
      </w:r>
      <w:r>
        <w:rPr>
          <w:rFonts w:cs="宋体" w:hint="eastAsia"/>
          <w:i/>
          <w:iCs/>
          <w:color w:val="000000" w:themeColor="text1"/>
          <w:kern w:val="0"/>
        </w:rPr>
        <w:t>年</w:t>
      </w:r>
      <w:r>
        <w:rPr>
          <w:rFonts w:cs="宋体"/>
          <w:i/>
          <w:iCs/>
          <w:color w:val="000000" w:themeColor="text1"/>
          <w:kern w:val="0"/>
        </w:rPr>
        <w:t>6</w:t>
      </w:r>
      <w:r>
        <w:rPr>
          <w:rFonts w:cs="宋体" w:hint="eastAsia"/>
          <w:i/>
          <w:iCs/>
          <w:color w:val="000000" w:themeColor="text1"/>
          <w:kern w:val="0"/>
        </w:rPr>
        <w:t>月</w:t>
      </w:r>
      <w:r>
        <w:rPr>
          <w:rFonts w:cs="宋体"/>
          <w:i/>
          <w:iCs/>
          <w:color w:val="000000" w:themeColor="text1"/>
          <w:kern w:val="0"/>
        </w:rPr>
        <w:t>30</w:t>
      </w:r>
      <w:r>
        <w:rPr>
          <w:rFonts w:cs="宋体" w:hint="eastAsia"/>
          <w:i/>
          <w:iCs/>
          <w:color w:val="000000" w:themeColor="text1"/>
          <w:kern w:val="0"/>
        </w:rPr>
        <w:t>日</w:t>
      </w:r>
      <w:r>
        <w:rPr>
          <w:rFonts w:cs="宋体" w:hint="eastAsia"/>
          <w:i/>
          <w:color w:val="000000" w:themeColor="text1"/>
        </w:rPr>
        <w:t>。</w:t>
      </w:r>
    </w:p>
    <w:p w14:paraId="06ACDE8B" w14:textId="77777777" w:rsidR="008810A2" w:rsidRDefault="00D921E0">
      <w:pPr>
        <w:widowControl/>
        <w:spacing w:line="240" w:lineRule="auto"/>
        <w:ind w:firstLineChars="0" w:firstLine="0"/>
        <w:jc w:val="left"/>
        <w:rPr>
          <w:rFonts w:cs="宋体"/>
          <w:i/>
          <w:color w:val="000000" w:themeColor="text1"/>
        </w:rPr>
      </w:pPr>
      <w:r>
        <w:rPr>
          <w:rFonts w:cs="宋体"/>
          <w:i/>
          <w:color w:val="000000" w:themeColor="text1"/>
        </w:rPr>
        <w:br w:type="page"/>
      </w:r>
    </w:p>
    <w:p w14:paraId="30E22E6C" w14:textId="77777777" w:rsidR="008810A2" w:rsidRDefault="00D921E0" w:rsidP="002B0D05">
      <w:pPr>
        <w:pStyle w:val="a4"/>
        <w:rPr>
          <w:shd w:val="clear" w:color="auto" w:fill="FFFFFF" w:themeFill="background1"/>
        </w:rPr>
      </w:pPr>
      <w:r>
        <w:rPr>
          <w:rFonts w:hint="eastAsia"/>
          <w:shd w:val="clear" w:color="auto" w:fill="FFFFFF" w:themeFill="background1"/>
        </w:rPr>
        <w:lastRenderedPageBreak/>
        <w:t>附表</w:t>
      </w:r>
      <w:r>
        <w:rPr>
          <w:shd w:val="clear" w:color="auto" w:fill="FFFFFF" w:themeFill="background1"/>
        </w:rPr>
        <w:t xml:space="preserve"> 7  </w:t>
      </w:r>
      <w:r>
        <w:rPr>
          <w:rFonts w:hint="eastAsia"/>
          <w:shd w:val="clear" w:color="auto" w:fill="FFFFFF" w:themeFill="background1"/>
        </w:rPr>
        <w:t>2</w:t>
      </w:r>
      <w:r>
        <w:rPr>
          <w:shd w:val="clear" w:color="auto" w:fill="FFFFFF" w:themeFill="background1"/>
        </w:rPr>
        <w:t>023</w:t>
      </w:r>
      <w:r>
        <w:rPr>
          <w:rFonts w:hint="eastAsia"/>
          <w:shd w:val="clear" w:color="auto" w:fill="FFFFFF" w:themeFill="background1"/>
        </w:rPr>
        <w:t>年分地区网民规模</w:t>
      </w:r>
    </w:p>
    <w:tbl>
      <w:tblPr>
        <w:tblW w:w="8164"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95"/>
        <w:gridCol w:w="3969"/>
      </w:tblGrid>
      <w:tr w:rsidR="008810A2" w14:paraId="22878AC2" w14:textId="77777777" w:rsidTr="00407C9F">
        <w:trPr>
          <w:trHeight w:val="340"/>
        </w:trPr>
        <w:tc>
          <w:tcPr>
            <w:tcW w:w="4195" w:type="dxa"/>
            <w:tcBorders>
              <w:top w:val="single" w:sz="4" w:space="0" w:color="auto"/>
              <w:right w:val="single" w:sz="4" w:space="0" w:color="auto"/>
            </w:tcBorders>
            <w:vAlign w:val="center"/>
          </w:tcPr>
          <w:p w14:paraId="701BBA5A"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省份</w:t>
            </w:r>
          </w:p>
        </w:tc>
        <w:tc>
          <w:tcPr>
            <w:tcW w:w="3969" w:type="dxa"/>
            <w:tcBorders>
              <w:top w:val="single" w:sz="4" w:space="0" w:color="auto"/>
              <w:left w:val="single" w:sz="4" w:space="0" w:color="auto"/>
              <w:bottom w:val="single" w:sz="4" w:space="0" w:color="auto"/>
            </w:tcBorders>
            <w:vAlign w:val="center"/>
          </w:tcPr>
          <w:p w14:paraId="72C8F5B8"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hint="eastAsia"/>
                <w:bCs/>
                <w:color w:val="000000" w:themeColor="text1"/>
                <w:kern w:val="0"/>
                <w:sz w:val="20"/>
                <w:szCs w:val="20"/>
              </w:rPr>
              <w:t>网民规模（万人）</w:t>
            </w:r>
          </w:p>
        </w:tc>
      </w:tr>
      <w:tr w:rsidR="008810A2" w14:paraId="59B01095" w14:textId="77777777" w:rsidTr="00407C9F">
        <w:trPr>
          <w:trHeight w:val="285"/>
        </w:trPr>
        <w:tc>
          <w:tcPr>
            <w:tcW w:w="4195" w:type="dxa"/>
            <w:tcBorders>
              <w:bottom w:val="nil"/>
              <w:right w:val="single" w:sz="4" w:space="0" w:color="auto"/>
            </w:tcBorders>
            <w:noWrap/>
          </w:tcPr>
          <w:p w14:paraId="44E2F22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北京</w:t>
            </w:r>
          </w:p>
        </w:tc>
        <w:tc>
          <w:tcPr>
            <w:tcW w:w="3969" w:type="dxa"/>
            <w:tcBorders>
              <w:top w:val="single" w:sz="4" w:space="0" w:color="auto"/>
              <w:left w:val="single" w:sz="4" w:space="0" w:color="auto"/>
              <w:bottom w:val="nil"/>
            </w:tcBorders>
            <w:noWrap/>
          </w:tcPr>
          <w:p w14:paraId="51703BB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1972</w:t>
            </w:r>
          </w:p>
        </w:tc>
      </w:tr>
      <w:tr w:rsidR="008810A2" w14:paraId="57EF6D2C" w14:textId="77777777" w:rsidTr="00407C9F">
        <w:trPr>
          <w:trHeight w:val="285"/>
        </w:trPr>
        <w:tc>
          <w:tcPr>
            <w:tcW w:w="4195" w:type="dxa"/>
            <w:tcBorders>
              <w:top w:val="nil"/>
              <w:bottom w:val="nil"/>
              <w:right w:val="single" w:sz="4" w:space="0" w:color="auto"/>
            </w:tcBorders>
            <w:noWrap/>
          </w:tcPr>
          <w:p w14:paraId="5278FEF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天津</w:t>
            </w:r>
          </w:p>
        </w:tc>
        <w:tc>
          <w:tcPr>
            <w:tcW w:w="3969" w:type="dxa"/>
            <w:tcBorders>
              <w:top w:val="nil"/>
              <w:left w:val="single" w:sz="4" w:space="0" w:color="auto"/>
              <w:bottom w:val="nil"/>
            </w:tcBorders>
            <w:noWrap/>
          </w:tcPr>
          <w:p w14:paraId="06D9431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1157</w:t>
            </w:r>
          </w:p>
        </w:tc>
      </w:tr>
      <w:tr w:rsidR="008810A2" w14:paraId="55A29962" w14:textId="77777777" w:rsidTr="00407C9F">
        <w:trPr>
          <w:trHeight w:val="285"/>
        </w:trPr>
        <w:tc>
          <w:tcPr>
            <w:tcW w:w="4195" w:type="dxa"/>
            <w:tcBorders>
              <w:top w:val="nil"/>
              <w:bottom w:val="nil"/>
              <w:right w:val="single" w:sz="4" w:space="0" w:color="auto"/>
            </w:tcBorders>
            <w:noWrap/>
          </w:tcPr>
          <w:p w14:paraId="173C041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河北</w:t>
            </w:r>
          </w:p>
        </w:tc>
        <w:tc>
          <w:tcPr>
            <w:tcW w:w="3969" w:type="dxa"/>
            <w:tcBorders>
              <w:top w:val="nil"/>
              <w:left w:val="single" w:sz="4" w:space="0" w:color="auto"/>
              <w:bottom w:val="nil"/>
            </w:tcBorders>
            <w:noWrap/>
          </w:tcPr>
          <w:p w14:paraId="74755DF6"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6304</w:t>
            </w:r>
          </w:p>
        </w:tc>
      </w:tr>
      <w:tr w:rsidR="008810A2" w14:paraId="60A1D2A7" w14:textId="77777777" w:rsidTr="00407C9F">
        <w:trPr>
          <w:trHeight w:val="285"/>
        </w:trPr>
        <w:tc>
          <w:tcPr>
            <w:tcW w:w="4195" w:type="dxa"/>
            <w:tcBorders>
              <w:top w:val="nil"/>
              <w:bottom w:val="nil"/>
              <w:right w:val="single" w:sz="4" w:space="0" w:color="auto"/>
            </w:tcBorders>
            <w:noWrap/>
          </w:tcPr>
          <w:p w14:paraId="59E3178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山西</w:t>
            </w:r>
          </w:p>
        </w:tc>
        <w:tc>
          <w:tcPr>
            <w:tcW w:w="3969" w:type="dxa"/>
            <w:tcBorders>
              <w:top w:val="nil"/>
              <w:left w:val="single" w:sz="4" w:space="0" w:color="auto"/>
              <w:bottom w:val="nil"/>
            </w:tcBorders>
            <w:noWrap/>
          </w:tcPr>
          <w:p w14:paraId="780B329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2599</w:t>
            </w:r>
          </w:p>
        </w:tc>
      </w:tr>
      <w:tr w:rsidR="008810A2" w14:paraId="2A4E7E1E" w14:textId="77777777" w:rsidTr="00407C9F">
        <w:trPr>
          <w:trHeight w:val="285"/>
        </w:trPr>
        <w:tc>
          <w:tcPr>
            <w:tcW w:w="4195" w:type="dxa"/>
            <w:tcBorders>
              <w:top w:val="nil"/>
              <w:bottom w:val="nil"/>
              <w:right w:val="single" w:sz="4" w:space="0" w:color="auto"/>
            </w:tcBorders>
            <w:noWrap/>
          </w:tcPr>
          <w:p w14:paraId="3B1B493A"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内蒙古</w:t>
            </w:r>
          </w:p>
        </w:tc>
        <w:tc>
          <w:tcPr>
            <w:tcW w:w="3969" w:type="dxa"/>
            <w:tcBorders>
              <w:top w:val="nil"/>
              <w:left w:val="single" w:sz="4" w:space="0" w:color="auto"/>
              <w:bottom w:val="nil"/>
            </w:tcBorders>
            <w:noWrap/>
          </w:tcPr>
          <w:p w14:paraId="20D519E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1996</w:t>
            </w:r>
          </w:p>
        </w:tc>
      </w:tr>
      <w:tr w:rsidR="008810A2" w14:paraId="62DCEEFF" w14:textId="77777777" w:rsidTr="00407C9F">
        <w:trPr>
          <w:trHeight w:val="285"/>
        </w:trPr>
        <w:tc>
          <w:tcPr>
            <w:tcW w:w="4195" w:type="dxa"/>
            <w:tcBorders>
              <w:top w:val="nil"/>
              <w:bottom w:val="nil"/>
              <w:right w:val="single" w:sz="4" w:space="0" w:color="auto"/>
            </w:tcBorders>
            <w:noWrap/>
          </w:tcPr>
          <w:p w14:paraId="2049134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辽宁</w:t>
            </w:r>
          </w:p>
        </w:tc>
        <w:tc>
          <w:tcPr>
            <w:tcW w:w="3969" w:type="dxa"/>
            <w:tcBorders>
              <w:top w:val="nil"/>
              <w:left w:val="single" w:sz="4" w:space="0" w:color="auto"/>
              <w:bottom w:val="nil"/>
            </w:tcBorders>
            <w:noWrap/>
          </w:tcPr>
          <w:p w14:paraId="2E753E1F"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3771</w:t>
            </w:r>
          </w:p>
        </w:tc>
      </w:tr>
      <w:tr w:rsidR="008810A2" w14:paraId="0FF8394C" w14:textId="77777777" w:rsidTr="00407C9F">
        <w:trPr>
          <w:trHeight w:val="285"/>
        </w:trPr>
        <w:tc>
          <w:tcPr>
            <w:tcW w:w="4195" w:type="dxa"/>
            <w:tcBorders>
              <w:top w:val="nil"/>
              <w:bottom w:val="nil"/>
              <w:right w:val="single" w:sz="4" w:space="0" w:color="auto"/>
            </w:tcBorders>
            <w:noWrap/>
          </w:tcPr>
          <w:p w14:paraId="50C98E4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吉林</w:t>
            </w:r>
          </w:p>
        </w:tc>
        <w:tc>
          <w:tcPr>
            <w:tcW w:w="3969" w:type="dxa"/>
            <w:tcBorders>
              <w:top w:val="nil"/>
              <w:left w:val="single" w:sz="4" w:space="0" w:color="auto"/>
              <w:bottom w:val="nil"/>
            </w:tcBorders>
            <w:noWrap/>
          </w:tcPr>
          <w:p w14:paraId="5F63BA8A"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1911</w:t>
            </w:r>
          </w:p>
        </w:tc>
      </w:tr>
      <w:tr w:rsidR="008810A2" w14:paraId="71263A38" w14:textId="77777777" w:rsidTr="00407C9F">
        <w:trPr>
          <w:trHeight w:val="285"/>
        </w:trPr>
        <w:tc>
          <w:tcPr>
            <w:tcW w:w="4195" w:type="dxa"/>
            <w:tcBorders>
              <w:top w:val="nil"/>
              <w:bottom w:val="nil"/>
              <w:right w:val="single" w:sz="4" w:space="0" w:color="auto"/>
            </w:tcBorders>
            <w:noWrap/>
          </w:tcPr>
          <w:p w14:paraId="40BAC11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黑龙江</w:t>
            </w:r>
          </w:p>
        </w:tc>
        <w:tc>
          <w:tcPr>
            <w:tcW w:w="3969" w:type="dxa"/>
            <w:tcBorders>
              <w:top w:val="nil"/>
              <w:left w:val="single" w:sz="4" w:space="0" w:color="auto"/>
              <w:bottom w:val="nil"/>
            </w:tcBorders>
            <w:noWrap/>
          </w:tcPr>
          <w:p w14:paraId="578DACA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2780</w:t>
            </w:r>
          </w:p>
        </w:tc>
      </w:tr>
      <w:tr w:rsidR="008810A2" w14:paraId="326981FF" w14:textId="77777777" w:rsidTr="00407C9F">
        <w:trPr>
          <w:trHeight w:val="285"/>
        </w:trPr>
        <w:tc>
          <w:tcPr>
            <w:tcW w:w="4195" w:type="dxa"/>
            <w:tcBorders>
              <w:top w:val="nil"/>
              <w:bottom w:val="nil"/>
              <w:right w:val="single" w:sz="4" w:space="0" w:color="auto"/>
            </w:tcBorders>
            <w:noWrap/>
          </w:tcPr>
          <w:p w14:paraId="62945A3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上海</w:t>
            </w:r>
          </w:p>
        </w:tc>
        <w:tc>
          <w:tcPr>
            <w:tcW w:w="3969" w:type="dxa"/>
            <w:tcBorders>
              <w:top w:val="nil"/>
              <w:left w:val="single" w:sz="4" w:space="0" w:color="auto"/>
              <w:bottom w:val="nil"/>
            </w:tcBorders>
            <w:noWrap/>
          </w:tcPr>
          <w:p w14:paraId="70561B7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2194</w:t>
            </w:r>
          </w:p>
        </w:tc>
      </w:tr>
      <w:tr w:rsidR="008810A2" w14:paraId="66A69159" w14:textId="77777777" w:rsidTr="00407C9F">
        <w:trPr>
          <w:trHeight w:val="285"/>
        </w:trPr>
        <w:tc>
          <w:tcPr>
            <w:tcW w:w="4195" w:type="dxa"/>
            <w:tcBorders>
              <w:top w:val="nil"/>
              <w:bottom w:val="nil"/>
              <w:right w:val="single" w:sz="4" w:space="0" w:color="auto"/>
            </w:tcBorders>
            <w:noWrap/>
          </w:tcPr>
          <w:p w14:paraId="14ACE99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江苏</w:t>
            </w:r>
          </w:p>
        </w:tc>
        <w:tc>
          <w:tcPr>
            <w:tcW w:w="3969" w:type="dxa"/>
            <w:tcBorders>
              <w:top w:val="nil"/>
              <w:left w:val="single" w:sz="4" w:space="0" w:color="auto"/>
              <w:bottom w:val="nil"/>
            </w:tcBorders>
            <w:noWrap/>
          </w:tcPr>
          <w:p w14:paraId="4889B9B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6846</w:t>
            </w:r>
          </w:p>
        </w:tc>
      </w:tr>
      <w:tr w:rsidR="008810A2" w14:paraId="2DFFCFD1" w14:textId="77777777" w:rsidTr="00407C9F">
        <w:trPr>
          <w:trHeight w:val="285"/>
        </w:trPr>
        <w:tc>
          <w:tcPr>
            <w:tcW w:w="4195" w:type="dxa"/>
            <w:tcBorders>
              <w:top w:val="nil"/>
              <w:bottom w:val="nil"/>
              <w:right w:val="single" w:sz="4" w:space="0" w:color="auto"/>
            </w:tcBorders>
            <w:noWrap/>
          </w:tcPr>
          <w:p w14:paraId="1F22E47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浙江</w:t>
            </w:r>
          </w:p>
        </w:tc>
        <w:tc>
          <w:tcPr>
            <w:tcW w:w="3969" w:type="dxa"/>
            <w:tcBorders>
              <w:top w:val="nil"/>
              <w:left w:val="single" w:sz="4" w:space="0" w:color="auto"/>
              <w:bottom w:val="nil"/>
            </w:tcBorders>
            <w:noWrap/>
          </w:tcPr>
          <w:p w14:paraId="18A2861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5102</w:t>
            </w:r>
          </w:p>
        </w:tc>
      </w:tr>
      <w:tr w:rsidR="008810A2" w14:paraId="39B660AA" w14:textId="77777777" w:rsidTr="00407C9F">
        <w:trPr>
          <w:trHeight w:val="285"/>
        </w:trPr>
        <w:tc>
          <w:tcPr>
            <w:tcW w:w="4195" w:type="dxa"/>
            <w:tcBorders>
              <w:top w:val="nil"/>
              <w:bottom w:val="nil"/>
              <w:right w:val="single" w:sz="4" w:space="0" w:color="auto"/>
            </w:tcBorders>
            <w:noWrap/>
          </w:tcPr>
          <w:p w14:paraId="49D4512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安徽</w:t>
            </w:r>
          </w:p>
        </w:tc>
        <w:tc>
          <w:tcPr>
            <w:tcW w:w="3969" w:type="dxa"/>
            <w:tcBorders>
              <w:top w:val="nil"/>
              <w:left w:val="single" w:sz="4" w:space="0" w:color="auto"/>
              <w:bottom w:val="nil"/>
            </w:tcBorders>
            <w:noWrap/>
          </w:tcPr>
          <w:p w14:paraId="71392E6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4457</w:t>
            </w:r>
          </w:p>
        </w:tc>
      </w:tr>
      <w:tr w:rsidR="008810A2" w14:paraId="4F5A7960" w14:textId="77777777" w:rsidTr="00407C9F">
        <w:trPr>
          <w:trHeight w:val="285"/>
        </w:trPr>
        <w:tc>
          <w:tcPr>
            <w:tcW w:w="4195" w:type="dxa"/>
            <w:tcBorders>
              <w:top w:val="nil"/>
              <w:bottom w:val="nil"/>
              <w:right w:val="single" w:sz="4" w:space="0" w:color="auto"/>
            </w:tcBorders>
            <w:noWrap/>
          </w:tcPr>
          <w:p w14:paraId="24A7309A"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福建</w:t>
            </w:r>
          </w:p>
        </w:tc>
        <w:tc>
          <w:tcPr>
            <w:tcW w:w="3969" w:type="dxa"/>
            <w:tcBorders>
              <w:top w:val="nil"/>
              <w:left w:val="single" w:sz="4" w:space="0" w:color="auto"/>
              <w:bottom w:val="nil"/>
            </w:tcBorders>
            <w:noWrap/>
          </w:tcPr>
          <w:p w14:paraId="3D004B6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3091</w:t>
            </w:r>
          </w:p>
        </w:tc>
      </w:tr>
      <w:tr w:rsidR="008810A2" w14:paraId="310EA165" w14:textId="77777777" w:rsidTr="00407C9F">
        <w:trPr>
          <w:trHeight w:val="285"/>
        </w:trPr>
        <w:tc>
          <w:tcPr>
            <w:tcW w:w="4195" w:type="dxa"/>
            <w:tcBorders>
              <w:top w:val="nil"/>
              <w:bottom w:val="nil"/>
              <w:right w:val="single" w:sz="4" w:space="0" w:color="auto"/>
            </w:tcBorders>
            <w:noWrap/>
          </w:tcPr>
          <w:p w14:paraId="5CEF3D7A"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江西</w:t>
            </w:r>
          </w:p>
        </w:tc>
        <w:tc>
          <w:tcPr>
            <w:tcW w:w="3969" w:type="dxa"/>
            <w:tcBorders>
              <w:top w:val="nil"/>
              <w:left w:val="single" w:sz="4" w:space="0" w:color="auto"/>
              <w:bottom w:val="nil"/>
            </w:tcBorders>
            <w:noWrap/>
          </w:tcPr>
          <w:p w14:paraId="611656D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3287</w:t>
            </w:r>
          </w:p>
        </w:tc>
      </w:tr>
      <w:tr w:rsidR="008810A2" w14:paraId="376867BC" w14:textId="77777777" w:rsidTr="00407C9F">
        <w:trPr>
          <w:trHeight w:val="285"/>
        </w:trPr>
        <w:tc>
          <w:tcPr>
            <w:tcW w:w="4195" w:type="dxa"/>
            <w:tcBorders>
              <w:top w:val="nil"/>
              <w:bottom w:val="nil"/>
              <w:right w:val="single" w:sz="4" w:space="0" w:color="auto"/>
            </w:tcBorders>
            <w:noWrap/>
          </w:tcPr>
          <w:p w14:paraId="19525C0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山东</w:t>
            </w:r>
          </w:p>
        </w:tc>
        <w:tc>
          <w:tcPr>
            <w:tcW w:w="3969" w:type="dxa"/>
            <w:tcBorders>
              <w:top w:val="nil"/>
              <w:left w:val="single" w:sz="4" w:space="0" w:color="auto"/>
              <w:bottom w:val="nil"/>
            </w:tcBorders>
            <w:noWrap/>
          </w:tcPr>
          <w:p w14:paraId="07A09B0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7775</w:t>
            </w:r>
          </w:p>
        </w:tc>
      </w:tr>
      <w:tr w:rsidR="008810A2" w14:paraId="15035EC7" w14:textId="77777777" w:rsidTr="00407C9F">
        <w:trPr>
          <w:trHeight w:val="285"/>
        </w:trPr>
        <w:tc>
          <w:tcPr>
            <w:tcW w:w="4195" w:type="dxa"/>
            <w:tcBorders>
              <w:top w:val="nil"/>
              <w:bottom w:val="nil"/>
              <w:right w:val="single" w:sz="4" w:space="0" w:color="auto"/>
            </w:tcBorders>
            <w:noWrap/>
          </w:tcPr>
          <w:p w14:paraId="3B606B5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河南</w:t>
            </w:r>
          </w:p>
        </w:tc>
        <w:tc>
          <w:tcPr>
            <w:tcW w:w="3969" w:type="dxa"/>
            <w:tcBorders>
              <w:top w:val="nil"/>
              <w:left w:val="single" w:sz="4" w:space="0" w:color="auto"/>
              <w:bottom w:val="nil"/>
            </w:tcBorders>
            <w:noWrap/>
          </w:tcPr>
          <w:p w14:paraId="7D03C75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7294</w:t>
            </w:r>
          </w:p>
        </w:tc>
      </w:tr>
      <w:tr w:rsidR="008810A2" w14:paraId="2AC2469D" w14:textId="77777777" w:rsidTr="00407C9F">
        <w:trPr>
          <w:trHeight w:val="285"/>
        </w:trPr>
        <w:tc>
          <w:tcPr>
            <w:tcW w:w="4195" w:type="dxa"/>
            <w:tcBorders>
              <w:top w:val="nil"/>
              <w:bottom w:val="nil"/>
              <w:right w:val="single" w:sz="4" w:space="0" w:color="auto"/>
            </w:tcBorders>
            <w:noWrap/>
          </w:tcPr>
          <w:p w14:paraId="3D57A9A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湖北</w:t>
            </w:r>
          </w:p>
        </w:tc>
        <w:tc>
          <w:tcPr>
            <w:tcW w:w="3969" w:type="dxa"/>
            <w:tcBorders>
              <w:top w:val="nil"/>
              <w:left w:val="single" w:sz="4" w:space="0" w:color="auto"/>
              <w:bottom w:val="nil"/>
            </w:tcBorders>
            <w:noWrap/>
          </w:tcPr>
          <w:p w14:paraId="6714F9D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4524</w:t>
            </w:r>
          </w:p>
        </w:tc>
      </w:tr>
      <w:tr w:rsidR="008810A2" w14:paraId="63615514" w14:textId="77777777" w:rsidTr="00407C9F">
        <w:trPr>
          <w:trHeight w:val="285"/>
        </w:trPr>
        <w:tc>
          <w:tcPr>
            <w:tcW w:w="4195" w:type="dxa"/>
            <w:tcBorders>
              <w:top w:val="nil"/>
              <w:bottom w:val="nil"/>
              <w:right w:val="single" w:sz="4" w:space="0" w:color="auto"/>
            </w:tcBorders>
            <w:noWrap/>
          </w:tcPr>
          <w:p w14:paraId="7A1BB8C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湖南</w:t>
            </w:r>
          </w:p>
        </w:tc>
        <w:tc>
          <w:tcPr>
            <w:tcW w:w="3969" w:type="dxa"/>
            <w:tcBorders>
              <w:top w:val="nil"/>
              <w:left w:val="single" w:sz="4" w:space="0" w:color="auto"/>
              <w:bottom w:val="nil"/>
            </w:tcBorders>
            <w:noWrap/>
          </w:tcPr>
          <w:p w14:paraId="148C3F3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4980</w:t>
            </w:r>
          </w:p>
        </w:tc>
      </w:tr>
      <w:tr w:rsidR="008810A2" w14:paraId="66BC312E" w14:textId="77777777" w:rsidTr="00407C9F">
        <w:trPr>
          <w:trHeight w:val="285"/>
        </w:trPr>
        <w:tc>
          <w:tcPr>
            <w:tcW w:w="4195" w:type="dxa"/>
            <w:tcBorders>
              <w:top w:val="nil"/>
              <w:bottom w:val="nil"/>
              <w:right w:val="single" w:sz="4" w:space="0" w:color="auto"/>
            </w:tcBorders>
            <w:noWrap/>
          </w:tcPr>
          <w:p w14:paraId="2809BA0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广东</w:t>
            </w:r>
          </w:p>
        </w:tc>
        <w:tc>
          <w:tcPr>
            <w:tcW w:w="3969" w:type="dxa"/>
            <w:tcBorders>
              <w:top w:val="nil"/>
              <w:left w:val="single" w:sz="4" w:space="0" w:color="auto"/>
              <w:bottom w:val="nil"/>
            </w:tcBorders>
            <w:noWrap/>
          </w:tcPr>
          <w:p w14:paraId="18328F9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10617</w:t>
            </w:r>
          </w:p>
        </w:tc>
      </w:tr>
      <w:tr w:rsidR="008810A2" w14:paraId="23FCD119" w14:textId="77777777" w:rsidTr="00407C9F">
        <w:trPr>
          <w:trHeight w:val="285"/>
        </w:trPr>
        <w:tc>
          <w:tcPr>
            <w:tcW w:w="4195" w:type="dxa"/>
            <w:tcBorders>
              <w:top w:val="nil"/>
              <w:bottom w:val="nil"/>
              <w:right w:val="single" w:sz="4" w:space="0" w:color="auto"/>
            </w:tcBorders>
            <w:noWrap/>
          </w:tcPr>
          <w:p w14:paraId="5CB7A5E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广西</w:t>
            </w:r>
          </w:p>
        </w:tc>
        <w:tc>
          <w:tcPr>
            <w:tcW w:w="3969" w:type="dxa"/>
            <w:tcBorders>
              <w:top w:val="nil"/>
              <w:left w:val="single" w:sz="4" w:space="0" w:color="auto"/>
              <w:bottom w:val="nil"/>
            </w:tcBorders>
            <w:noWrap/>
          </w:tcPr>
          <w:p w14:paraId="0C654460"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3812</w:t>
            </w:r>
          </w:p>
        </w:tc>
      </w:tr>
      <w:tr w:rsidR="008810A2" w14:paraId="3135B19C" w14:textId="77777777" w:rsidTr="00407C9F">
        <w:trPr>
          <w:trHeight w:val="285"/>
        </w:trPr>
        <w:tc>
          <w:tcPr>
            <w:tcW w:w="4195" w:type="dxa"/>
            <w:tcBorders>
              <w:top w:val="nil"/>
              <w:bottom w:val="nil"/>
              <w:right w:val="single" w:sz="4" w:space="0" w:color="auto"/>
            </w:tcBorders>
            <w:noWrap/>
          </w:tcPr>
          <w:p w14:paraId="34EE64B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海南</w:t>
            </w:r>
          </w:p>
        </w:tc>
        <w:tc>
          <w:tcPr>
            <w:tcW w:w="3969" w:type="dxa"/>
            <w:tcBorders>
              <w:top w:val="nil"/>
              <w:left w:val="single" w:sz="4" w:space="0" w:color="auto"/>
              <w:bottom w:val="nil"/>
            </w:tcBorders>
            <w:noWrap/>
          </w:tcPr>
          <w:p w14:paraId="389B19B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828</w:t>
            </w:r>
          </w:p>
        </w:tc>
      </w:tr>
      <w:tr w:rsidR="008810A2" w14:paraId="31F978F0" w14:textId="77777777" w:rsidTr="00407C9F">
        <w:trPr>
          <w:trHeight w:val="285"/>
        </w:trPr>
        <w:tc>
          <w:tcPr>
            <w:tcW w:w="4195" w:type="dxa"/>
            <w:tcBorders>
              <w:top w:val="nil"/>
              <w:bottom w:val="nil"/>
              <w:right w:val="single" w:sz="4" w:space="0" w:color="auto"/>
            </w:tcBorders>
            <w:noWrap/>
          </w:tcPr>
          <w:p w14:paraId="73EB6F6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重庆</w:t>
            </w:r>
          </w:p>
        </w:tc>
        <w:tc>
          <w:tcPr>
            <w:tcW w:w="3969" w:type="dxa"/>
            <w:tcBorders>
              <w:top w:val="nil"/>
              <w:left w:val="single" w:sz="4" w:space="0" w:color="auto"/>
              <w:bottom w:val="nil"/>
            </w:tcBorders>
            <w:noWrap/>
          </w:tcPr>
          <w:p w14:paraId="2A1CE7E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2362</w:t>
            </w:r>
          </w:p>
        </w:tc>
      </w:tr>
      <w:tr w:rsidR="008810A2" w14:paraId="73567568" w14:textId="77777777" w:rsidTr="00407C9F">
        <w:trPr>
          <w:trHeight w:val="285"/>
        </w:trPr>
        <w:tc>
          <w:tcPr>
            <w:tcW w:w="4195" w:type="dxa"/>
            <w:tcBorders>
              <w:top w:val="nil"/>
              <w:bottom w:val="nil"/>
              <w:right w:val="single" w:sz="4" w:space="0" w:color="auto"/>
            </w:tcBorders>
            <w:noWrap/>
          </w:tcPr>
          <w:p w14:paraId="4AA157D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四川</w:t>
            </w:r>
          </w:p>
        </w:tc>
        <w:tc>
          <w:tcPr>
            <w:tcW w:w="3969" w:type="dxa"/>
            <w:tcBorders>
              <w:top w:val="nil"/>
              <w:left w:val="single" w:sz="4" w:space="0" w:color="auto"/>
              <w:bottom w:val="nil"/>
            </w:tcBorders>
            <w:noWrap/>
          </w:tcPr>
          <w:p w14:paraId="2AB4C0D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6016</w:t>
            </w:r>
          </w:p>
        </w:tc>
      </w:tr>
      <w:tr w:rsidR="008810A2" w14:paraId="64365AC7" w14:textId="77777777" w:rsidTr="00407C9F">
        <w:trPr>
          <w:trHeight w:val="285"/>
        </w:trPr>
        <w:tc>
          <w:tcPr>
            <w:tcW w:w="4195" w:type="dxa"/>
            <w:tcBorders>
              <w:top w:val="nil"/>
              <w:bottom w:val="nil"/>
              <w:right w:val="single" w:sz="4" w:space="0" w:color="auto"/>
            </w:tcBorders>
            <w:noWrap/>
          </w:tcPr>
          <w:p w14:paraId="56E3024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贵州</w:t>
            </w:r>
          </w:p>
        </w:tc>
        <w:tc>
          <w:tcPr>
            <w:tcW w:w="3969" w:type="dxa"/>
            <w:tcBorders>
              <w:top w:val="nil"/>
              <w:left w:val="single" w:sz="4" w:space="0" w:color="auto"/>
              <w:bottom w:val="nil"/>
            </w:tcBorders>
            <w:noWrap/>
          </w:tcPr>
          <w:p w14:paraId="5DDC36F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2435</w:t>
            </w:r>
          </w:p>
        </w:tc>
      </w:tr>
      <w:tr w:rsidR="008810A2" w14:paraId="2622017F" w14:textId="77777777" w:rsidTr="00407C9F">
        <w:trPr>
          <w:trHeight w:val="285"/>
        </w:trPr>
        <w:tc>
          <w:tcPr>
            <w:tcW w:w="4195" w:type="dxa"/>
            <w:tcBorders>
              <w:top w:val="nil"/>
              <w:bottom w:val="nil"/>
              <w:right w:val="single" w:sz="4" w:space="0" w:color="auto"/>
            </w:tcBorders>
            <w:noWrap/>
          </w:tcPr>
          <w:p w14:paraId="1445807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云南</w:t>
            </w:r>
          </w:p>
        </w:tc>
        <w:tc>
          <w:tcPr>
            <w:tcW w:w="3969" w:type="dxa"/>
            <w:tcBorders>
              <w:top w:val="nil"/>
              <w:left w:val="single" w:sz="4" w:space="0" w:color="auto"/>
              <w:bottom w:val="nil"/>
            </w:tcBorders>
            <w:noWrap/>
          </w:tcPr>
          <w:p w14:paraId="495D94C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3265</w:t>
            </w:r>
          </w:p>
        </w:tc>
      </w:tr>
      <w:tr w:rsidR="008810A2" w14:paraId="36C4C5A2" w14:textId="77777777" w:rsidTr="00407C9F">
        <w:trPr>
          <w:trHeight w:val="285"/>
        </w:trPr>
        <w:tc>
          <w:tcPr>
            <w:tcW w:w="4195" w:type="dxa"/>
            <w:tcBorders>
              <w:top w:val="nil"/>
              <w:bottom w:val="nil"/>
              <w:right w:val="single" w:sz="4" w:space="0" w:color="auto"/>
            </w:tcBorders>
            <w:noWrap/>
          </w:tcPr>
          <w:p w14:paraId="01A01F2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西藏</w:t>
            </w:r>
          </w:p>
        </w:tc>
        <w:tc>
          <w:tcPr>
            <w:tcW w:w="3969" w:type="dxa"/>
            <w:tcBorders>
              <w:top w:val="nil"/>
              <w:left w:val="single" w:sz="4" w:space="0" w:color="auto"/>
              <w:bottom w:val="nil"/>
            </w:tcBorders>
            <w:noWrap/>
          </w:tcPr>
          <w:p w14:paraId="76D7257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271</w:t>
            </w:r>
          </w:p>
        </w:tc>
      </w:tr>
      <w:tr w:rsidR="008810A2" w14:paraId="79787A5F" w14:textId="77777777" w:rsidTr="00407C9F">
        <w:trPr>
          <w:trHeight w:val="285"/>
        </w:trPr>
        <w:tc>
          <w:tcPr>
            <w:tcW w:w="4195" w:type="dxa"/>
            <w:tcBorders>
              <w:top w:val="nil"/>
              <w:bottom w:val="nil"/>
              <w:right w:val="single" w:sz="4" w:space="0" w:color="auto"/>
            </w:tcBorders>
            <w:noWrap/>
          </w:tcPr>
          <w:p w14:paraId="35DEABD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陕西</w:t>
            </w:r>
          </w:p>
        </w:tc>
        <w:tc>
          <w:tcPr>
            <w:tcW w:w="3969" w:type="dxa"/>
            <w:tcBorders>
              <w:top w:val="nil"/>
              <w:left w:val="single" w:sz="4" w:space="0" w:color="auto"/>
              <w:bottom w:val="nil"/>
            </w:tcBorders>
            <w:noWrap/>
          </w:tcPr>
          <w:p w14:paraId="3A736F10"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3135</w:t>
            </w:r>
          </w:p>
        </w:tc>
      </w:tr>
      <w:tr w:rsidR="008810A2" w14:paraId="6F2FCEE8" w14:textId="77777777" w:rsidTr="00407C9F">
        <w:trPr>
          <w:trHeight w:val="285"/>
        </w:trPr>
        <w:tc>
          <w:tcPr>
            <w:tcW w:w="4195" w:type="dxa"/>
            <w:tcBorders>
              <w:top w:val="nil"/>
              <w:bottom w:val="nil"/>
              <w:right w:val="single" w:sz="4" w:space="0" w:color="auto"/>
            </w:tcBorders>
            <w:noWrap/>
          </w:tcPr>
          <w:p w14:paraId="1DFB8C3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甘肃</w:t>
            </w:r>
          </w:p>
        </w:tc>
        <w:tc>
          <w:tcPr>
            <w:tcW w:w="3969" w:type="dxa"/>
            <w:tcBorders>
              <w:top w:val="nil"/>
              <w:left w:val="single" w:sz="4" w:space="0" w:color="auto"/>
              <w:bottom w:val="nil"/>
            </w:tcBorders>
            <w:noWrap/>
          </w:tcPr>
          <w:p w14:paraId="563FF89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1789</w:t>
            </w:r>
          </w:p>
        </w:tc>
      </w:tr>
      <w:tr w:rsidR="008810A2" w14:paraId="0B85671F" w14:textId="77777777" w:rsidTr="00407C9F">
        <w:trPr>
          <w:trHeight w:val="285"/>
        </w:trPr>
        <w:tc>
          <w:tcPr>
            <w:tcW w:w="4195" w:type="dxa"/>
            <w:tcBorders>
              <w:top w:val="nil"/>
              <w:bottom w:val="nil"/>
              <w:right w:val="single" w:sz="4" w:space="0" w:color="auto"/>
            </w:tcBorders>
            <w:noWrap/>
          </w:tcPr>
          <w:p w14:paraId="18217A4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青海</w:t>
            </w:r>
          </w:p>
        </w:tc>
        <w:tc>
          <w:tcPr>
            <w:tcW w:w="3969" w:type="dxa"/>
            <w:tcBorders>
              <w:top w:val="nil"/>
              <w:left w:val="single" w:sz="4" w:space="0" w:color="auto"/>
              <w:bottom w:val="nil"/>
            </w:tcBorders>
            <w:noWrap/>
          </w:tcPr>
          <w:p w14:paraId="575C506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425</w:t>
            </w:r>
          </w:p>
        </w:tc>
      </w:tr>
      <w:tr w:rsidR="008810A2" w14:paraId="490F7F67" w14:textId="77777777" w:rsidTr="00407C9F">
        <w:trPr>
          <w:trHeight w:val="285"/>
        </w:trPr>
        <w:tc>
          <w:tcPr>
            <w:tcW w:w="4195" w:type="dxa"/>
            <w:tcBorders>
              <w:top w:val="nil"/>
              <w:bottom w:val="nil"/>
              <w:right w:val="single" w:sz="4" w:space="0" w:color="auto"/>
            </w:tcBorders>
            <w:noWrap/>
          </w:tcPr>
          <w:p w14:paraId="17D1D2BA"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宁夏</w:t>
            </w:r>
          </w:p>
        </w:tc>
        <w:tc>
          <w:tcPr>
            <w:tcW w:w="3969" w:type="dxa"/>
            <w:tcBorders>
              <w:top w:val="nil"/>
              <w:left w:val="single" w:sz="4" w:space="0" w:color="auto"/>
              <w:bottom w:val="nil"/>
            </w:tcBorders>
            <w:noWrap/>
          </w:tcPr>
          <w:p w14:paraId="678DE17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522</w:t>
            </w:r>
          </w:p>
        </w:tc>
      </w:tr>
      <w:tr w:rsidR="008810A2" w14:paraId="0DA73C58" w14:textId="77777777" w:rsidTr="00407C9F">
        <w:trPr>
          <w:trHeight w:val="285"/>
        </w:trPr>
        <w:tc>
          <w:tcPr>
            <w:tcW w:w="4195" w:type="dxa"/>
            <w:tcBorders>
              <w:top w:val="nil"/>
              <w:bottom w:val="single" w:sz="4" w:space="0" w:color="auto"/>
              <w:right w:val="single" w:sz="4" w:space="0" w:color="auto"/>
            </w:tcBorders>
            <w:noWrap/>
          </w:tcPr>
          <w:p w14:paraId="72975ED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新疆</w:t>
            </w:r>
          </w:p>
        </w:tc>
        <w:tc>
          <w:tcPr>
            <w:tcW w:w="3969" w:type="dxa"/>
            <w:tcBorders>
              <w:top w:val="nil"/>
              <w:left w:val="single" w:sz="4" w:space="0" w:color="auto"/>
              <w:bottom w:val="single" w:sz="4" w:space="0" w:color="auto"/>
            </w:tcBorders>
            <w:noWrap/>
          </w:tcPr>
          <w:p w14:paraId="341E68C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1950</w:t>
            </w:r>
          </w:p>
        </w:tc>
      </w:tr>
    </w:tbl>
    <w:p w14:paraId="63C2B476" w14:textId="77777777" w:rsidR="008810A2" w:rsidRDefault="00D921E0">
      <w:pPr>
        <w:spacing w:line="240" w:lineRule="auto"/>
        <w:ind w:firstLineChars="0" w:firstLine="0"/>
        <w:jc w:val="left"/>
        <w:rPr>
          <w:rFonts w:cs="宋体"/>
          <w:i/>
          <w:iCs/>
          <w:color w:val="000000" w:themeColor="text1"/>
          <w:kern w:val="0"/>
        </w:rPr>
      </w:pPr>
      <w:r>
        <w:rPr>
          <w:rFonts w:cs="宋体" w:hint="eastAsia"/>
          <w:i/>
          <w:iCs/>
          <w:color w:val="000000" w:themeColor="text1"/>
          <w:kern w:val="0"/>
        </w:rPr>
        <w:t>数据来源：</w:t>
      </w:r>
      <w:r>
        <w:rPr>
          <w:i/>
          <w:iCs/>
          <w:color w:val="000000" w:themeColor="text1"/>
          <w:kern w:val="0"/>
        </w:rPr>
        <w:t>CNNIC</w:t>
      </w:r>
    </w:p>
    <w:p w14:paraId="3F92116C" w14:textId="77777777" w:rsidR="008810A2" w:rsidRDefault="00D921E0">
      <w:pPr>
        <w:spacing w:line="240" w:lineRule="auto"/>
        <w:ind w:firstLineChars="0" w:firstLine="0"/>
        <w:jc w:val="left"/>
        <w:rPr>
          <w:rFonts w:cs="宋体"/>
          <w:i/>
          <w:color w:val="000000" w:themeColor="text1"/>
        </w:rPr>
      </w:pPr>
      <w:r>
        <w:rPr>
          <w:rFonts w:cs="宋体" w:hint="eastAsia"/>
          <w:i/>
          <w:color w:val="000000" w:themeColor="text1"/>
        </w:rPr>
        <w:t>注</w:t>
      </w:r>
      <w:r>
        <w:rPr>
          <w:rFonts w:cs="宋体" w:hint="eastAsia"/>
          <w:i/>
          <w:color w:val="000000" w:themeColor="text1"/>
        </w:rPr>
        <w:t>1</w:t>
      </w:r>
      <w:r>
        <w:rPr>
          <w:rFonts w:cs="宋体" w:hint="eastAsia"/>
          <w:i/>
          <w:color w:val="000000" w:themeColor="text1"/>
        </w:rPr>
        <w:t>：个别省份进行了单独调查；</w:t>
      </w:r>
    </w:p>
    <w:p w14:paraId="61B32E0E" w14:textId="77777777" w:rsidR="008810A2" w:rsidRDefault="00D921E0">
      <w:pPr>
        <w:spacing w:line="240" w:lineRule="auto"/>
        <w:ind w:firstLineChars="0" w:firstLine="0"/>
        <w:jc w:val="left"/>
        <w:rPr>
          <w:rFonts w:cs="宋体"/>
          <w:i/>
          <w:color w:val="000000" w:themeColor="text1"/>
        </w:rPr>
      </w:pPr>
      <w:r>
        <w:rPr>
          <w:rFonts w:cs="宋体" w:hint="eastAsia"/>
          <w:i/>
          <w:color w:val="000000" w:themeColor="text1"/>
        </w:rPr>
        <w:t>注</w:t>
      </w:r>
      <w:r>
        <w:rPr>
          <w:rFonts w:cs="宋体" w:hint="eastAsia"/>
          <w:i/>
          <w:color w:val="000000" w:themeColor="text1"/>
        </w:rPr>
        <w:t>2</w:t>
      </w:r>
      <w:r>
        <w:rPr>
          <w:rFonts w:cs="宋体" w:hint="eastAsia"/>
          <w:i/>
          <w:color w:val="000000" w:themeColor="text1"/>
        </w:rPr>
        <w:t>：以上数据统计截止日期为</w:t>
      </w:r>
      <w:r>
        <w:rPr>
          <w:rFonts w:cs="宋体" w:hint="eastAsia"/>
          <w:i/>
          <w:iCs/>
          <w:color w:val="000000" w:themeColor="text1"/>
          <w:kern w:val="0"/>
        </w:rPr>
        <w:t>202</w:t>
      </w:r>
      <w:r>
        <w:rPr>
          <w:rFonts w:cs="宋体"/>
          <w:i/>
          <w:iCs/>
          <w:color w:val="000000" w:themeColor="text1"/>
          <w:kern w:val="0"/>
        </w:rPr>
        <w:t>3</w:t>
      </w:r>
      <w:r>
        <w:rPr>
          <w:rFonts w:cs="宋体" w:hint="eastAsia"/>
          <w:i/>
          <w:iCs/>
          <w:color w:val="000000" w:themeColor="text1"/>
          <w:kern w:val="0"/>
        </w:rPr>
        <w:t>年</w:t>
      </w:r>
      <w:r>
        <w:rPr>
          <w:rFonts w:cs="宋体"/>
          <w:i/>
          <w:iCs/>
          <w:color w:val="000000" w:themeColor="text1"/>
          <w:kern w:val="0"/>
        </w:rPr>
        <w:t>12</w:t>
      </w:r>
      <w:r>
        <w:rPr>
          <w:rFonts w:cs="宋体" w:hint="eastAsia"/>
          <w:i/>
          <w:iCs/>
          <w:color w:val="000000" w:themeColor="text1"/>
          <w:kern w:val="0"/>
        </w:rPr>
        <w:t>月</w:t>
      </w:r>
      <w:r>
        <w:rPr>
          <w:rFonts w:cs="宋体"/>
          <w:i/>
          <w:iCs/>
          <w:color w:val="000000" w:themeColor="text1"/>
          <w:kern w:val="0"/>
        </w:rPr>
        <w:t>31</w:t>
      </w:r>
      <w:r>
        <w:rPr>
          <w:rFonts w:cs="宋体" w:hint="eastAsia"/>
          <w:i/>
          <w:iCs/>
          <w:color w:val="000000" w:themeColor="text1"/>
          <w:kern w:val="0"/>
        </w:rPr>
        <w:t>日</w:t>
      </w:r>
      <w:r>
        <w:rPr>
          <w:rFonts w:cs="宋体" w:hint="eastAsia"/>
          <w:i/>
          <w:color w:val="000000" w:themeColor="text1"/>
        </w:rPr>
        <w:t>。</w:t>
      </w:r>
    </w:p>
    <w:p w14:paraId="31FAB66A" w14:textId="77777777" w:rsidR="008810A2" w:rsidRDefault="008810A2">
      <w:pPr>
        <w:spacing w:line="240" w:lineRule="auto"/>
        <w:ind w:firstLineChars="0" w:firstLine="0"/>
        <w:jc w:val="left"/>
        <w:rPr>
          <w:i/>
          <w:color w:val="000000" w:themeColor="text1"/>
        </w:rPr>
      </w:pPr>
    </w:p>
    <w:p w14:paraId="7A34C67D" w14:textId="77777777" w:rsidR="008810A2" w:rsidRDefault="008810A2">
      <w:pPr>
        <w:ind w:firstLineChars="95" w:firstLine="199"/>
        <w:sectPr w:rsidR="008810A2">
          <w:headerReference w:type="even" r:id="rId73"/>
          <w:headerReference w:type="default" r:id="rId74"/>
          <w:headerReference w:type="first" r:id="rId75"/>
          <w:footerReference w:type="first" r:id="rId76"/>
          <w:pgSz w:w="11906" w:h="16838"/>
          <w:pgMar w:top="1440" w:right="1843" w:bottom="1440" w:left="1797" w:header="851" w:footer="992" w:gutter="0"/>
          <w:cols w:space="425"/>
          <w:docGrid w:type="lines" w:linePitch="312"/>
        </w:sectPr>
      </w:pPr>
    </w:p>
    <w:p w14:paraId="55AF9C46" w14:textId="77777777" w:rsidR="008810A2" w:rsidRDefault="00D921E0">
      <w:pPr>
        <w:pStyle w:val="1"/>
        <w:spacing w:before="120" w:after="600" w:line="312" w:lineRule="auto"/>
        <w:ind w:firstLineChars="0" w:firstLine="0"/>
        <w:rPr>
          <w:rFonts w:eastAsia="仿宋_GB2312"/>
          <w:b/>
          <w:color w:val="000000" w:themeColor="text1"/>
          <w:sz w:val="52"/>
          <w:szCs w:val="52"/>
        </w:rPr>
      </w:pPr>
      <w:bookmarkStart w:id="357" w:name="_Toc141105727"/>
      <w:bookmarkStart w:id="358" w:name="_Toc175065731"/>
      <w:r>
        <w:rPr>
          <w:rFonts w:eastAsia="仿宋_GB2312"/>
          <w:b/>
          <w:color w:val="000000" w:themeColor="text1"/>
          <w:sz w:val="52"/>
          <w:szCs w:val="52"/>
        </w:rPr>
        <w:lastRenderedPageBreak/>
        <w:t>附录三</w:t>
      </w:r>
      <w:r>
        <w:rPr>
          <w:rFonts w:eastAsia="仿宋_GB2312" w:hint="eastAsia"/>
          <w:b/>
          <w:color w:val="000000" w:themeColor="text1"/>
          <w:sz w:val="52"/>
          <w:szCs w:val="52"/>
        </w:rPr>
        <w:t xml:space="preserve"> </w:t>
      </w:r>
      <w:r>
        <w:rPr>
          <w:rFonts w:eastAsia="仿宋_GB2312"/>
          <w:b/>
          <w:color w:val="000000" w:themeColor="text1"/>
          <w:sz w:val="52"/>
          <w:szCs w:val="52"/>
        </w:rPr>
        <w:t>调查支持单位</w:t>
      </w:r>
      <w:bookmarkEnd w:id="357"/>
      <w:bookmarkEnd w:id="358"/>
    </w:p>
    <w:p w14:paraId="4D0B14CD" w14:textId="77777777" w:rsidR="008810A2" w:rsidRDefault="00D921E0">
      <w:pPr>
        <w:ind w:firstLineChars="46" w:firstLine="97"/>
        <w:rPr>
          <w:color w:val="000000" w:themeColor="text1"/>
        </w:rPr>
      </w:pPr>
      <w:r>
        <w:rPr>
          <w:rFonts w:hint="eastAsia"/>
          <w:color w:val="000000" w:themeColor="text1"/>
        </w:rPr>
        <w:t>以下单位对本次报告的数据给予了大力支持，在此表示衷心的感谢！（</w:t>
      </w:r>
      <w:r>
        <w:rPr>
          <w:color w:val="000000" w:themeColor="text1"/>
        </w:rPr>
        <w:t>排序</w:t>
      </w:r>
      <w:r>
        <w:rPr>
          <w:rFonts w:hint="eastAsia"/>
          <w:color w:val="000000" w:themeColor="text1"/>
        </w:rPr>
        <w:t>不分</w:t>
      </w:r>
      <w:r>
        <w:rPr>
          <w:color w:val="000000" w:themeColor="text1"/>
        </w:rPr>
        <w:t>先后）</w:t>
      </w:r>
    </w:p>
    <w:p w14:paraId="3D29E17A" w14:textId="77777777" w:rsidR="008810A2" w:rsidRDefault="008810A2">
      <w:pPr>
        <w:ind w:firstLineChars="50" w:firstLine="105"/>
        <w:rPr>
          <w:color w:val="000000" w:themeColor="text1"/>
        </w:rPr>
      </w:pPr>
    </w:p>
    <w:tbl>
      <w:tblPr>
        <w:tblW w:w="7660" w:type="dxa"/>
        <w:tblLook w:val="04A0" w:firstRow="1" w:lastRow="0" w:firstColumn="1" w:lastColumn="0" w:noHBand="0" w:noVBand="1"/>
      </w:tblPr>
      <w:tblGrid>
        <w:gridCol w:w="7660"/>
      </w:tblGrid>
      <w:tr w:rsidR="008810A2" w14:paraId="63928365" w14:textId="77777777">
        <w:trPr>
          <w:trHeight w:val="288"/>
        </w:trPr>
        <w:tc>
          <w:tcPr>
            <w:tcW w:w="7660" w:type="dxa"/>
            <w:tcBorders>
              <w:top w:val="nil"/>
              <w:left w:val="nil"/>
              <w:bottom w:val="nil"/>
              <w:right w:val="nil"/>
            </w:tcBorders>
            <w:shd w:val="clear" w:color="auto" w:fill="auto"/>
            <w:noWrap/>
            <w:vAlign w:val="center"/>
          </w:tcPr>
          <w:p w14:paraId="0ABBD978" w14:textId="77777777" w:rsidR="008810A2" w:rsidRDefault="00D921E0">
            <w:pPr>
              <w:widowControl/>
              <w:spacing w:line="240" w:lineRule="auto"/>
              <w:ind w:firstLineChars="0" w:firstLine="0"/>
              <w:rPr>
                <w:rFonts w:ascii="宋体" w:hAnsi="宋体" w:cs="宋体"/>
                <w:color w:val="000000"/>
                <w:kern w:val="0"/>
                <w:szCs w:val="21"/>
              </w:rPr>
            </w:pPr>
            <w:r>
              <w:rPr>
                <w:rFonts w:ascii="宋体" w:hAnsi="宋体" w:cs="宋体" w:hint="eastAsia"/>
                <w:color w:val="000000"/>
                <w:kern w:val="0"/>
                <w:szCs w:val="21"/>
              </w:rPr>
              <w:t>工业和信息化部</w:t>
            </w:r>
          </w:p>
        </w:tc>
      </w:tr>
      <w:tr w:rsidR="008810A2" w14:paraId="3253CFFE" w14:textId="77777777">
        <w:trPr>
          <w:trHeight w:val="288"/>
        </w:trPr>
        <w:tc>
          <w:tcPr>
            <w:tcW w:w="7660" w:type="dxa"/>
            <w:tcBorders>
              <w:top w:val="nil"/>
              <w:left w:val="nil"/>
              <w:bottom w:val="nil"/>
              <w:right w:val="nil"/>
            </w:tcBorders>
            <w:shd w:val="clear" w:color="auto" w:fill="auto"/>
            <w:noWrap/>
            <w:vAlign w:val="center"/>
          </w:tcPr>
          <w:p w14:paraId="06C79961" w14:textId="77777777" w:rsidR="008810A2" w:rsidRDefault="00D921E0">
            <w:pPr>
              <w:widowControl/>
              <w:spacing w:line="240" w:lineRule="auto"/>
              <w:ind w:firstLineChars="0" w:firstLine="0"/>
              <w:rPr>
                <w:rFonts w:ascii="宋体" w:hAnsi="宋体" w:cs="宋体"/>
                <w:color w:val="000000"/>
                <w:kern w:val="0"/>
                <w:szCs w:val="21"/>
              </w:rPr>
            </w:pPr>
            <w:r>
              <w:rPr>
                <w:color w:val="000000" w:themeColor="text1"/>
                <w:szCs w:val="21"/>
              </w:rPr>
              <w:t>国家互联网信息办公室</w:t>
            </w:r>
          </w:p>
        </w:tc>
      </w:tr>
      <w:tr w:rsidR="008810A2" w14:paraId="5DADCD12" w14:textId="77777777">
        <w:trPr>
          <w:trHeight w:val="288"/>
        </w:trPr>
        <w:tc>
          <w:tcPr>
            <w:tcW w:w="7660" w:type="dxa"/>
            <w:tcBorders>
              <w:top w:val="nil"/>
              <w:left w:val="nil"/>
              <w:bottom w:val="nil"/>
              <w:right w:val="nil"/>
            </w:tcBorders>
            <w:shd w:val="clear" w:color="auto" w:fill="auto"/>
            <w:noWrap/>
            <w:vAlign w:val="center"/>
          </w:tcPr>
          <w:p w14:paraId="545F0E20" w14:textId="77777777" w:rsidR="008810A2" w:rsidRDefault="00D921E0">
            <w:pPr>
              <w:widowControl/>
              <w:spacing w:line="240" w:lineRule="auto"/>
              <w:ind w:firstLineChars="0" w:firstLine="0"/>
              <w:rPr>
                <w:rFonts w:ascii="宋体" w:hAnsi="宋体" w:cs="宋体"/>
                <w:color w:val="000000"/>
                <w:kern w:val="0"/>
                <w:szCs w:val="21"/>
              </w:rPr>
            </w:pPr>
            <w:r>
              <w:rPr>
                <w:rFonts w:ascii="宋体" w:hAnsi="宋体" w:cs="宋体" w:hint="eastAsia"/>
                <w:color w:val="000000"/>
                <w:kern w:val="0"/>
                <w:szCs w:val="21"/>
              </w:rPr>
              <w:t>国家统计局</w:t>
            </w:r>
          </w:p>
        </w:tc>
      </w:tr>
      <w:tr w:rsidR="008810A2" w14:paraId="120FCC9E" w14:textId="77777777">
        <w:trPr>
          <w:trHeight w:val="288"/>
        </w:trPr>
        <w:tc>
          <w:tcPr>
            <w:tcW w:w="7660" w:type="dxa"/>
            <w:tcBorders>
              <w:top w:val="nil"/>
              <w:left w:val="nil"/>
              <w:bottom w:val="nil"/>
              <w:right w:val="nil"/>
            </w:tcBorders>
            <w:shd w:val="clear" w:color="auto" w:fill="auto"/>
            <w:noWrap/>
            <w:vAlign w:val="center"/>
          </w:tcPr>
          <w:p w14:paraId="6FA11782" w14:textId="77777777" w:rsidR="008810A2" w:rsidRDefault="00D921E0">
            <w:pPr>
              <w:widowControl/>
              <w:spacing w:line="240" w:lineRule="auto"/>
              <w:ind w:firstLineChars="0" w:firstLine="0"/>
              <w:rPr>
                <w:rFonts w:ascii="宋体" w:hAnsi="宋体" w:cs="宋体"/>
                <w:color w:val="000000"/>
                <w:kern w:val="0"/>
                <w:szCs w:val="21"/>
              </w:rPr>
            </w:pPr>
            <w:r>
              <w:rPr>
                <w:rFonts w:ascii="宋体" w:hAnsi="宋体" w:cs="宋体" w:hint="eastAsia"/>
                <w:color w:val="000000"/>
                <w:kern w:val="0"/>
                <w:szCs w:val="21"/>
              </w:rPr>
              <w:t>共青团中央</w:t>
            </w:r>
          </w:p>
        </w:tc>
      </w:tr>
    </w:tbl>
    <w:p w14:paraId="03297C94" w14:textId="77777777" w:rsidR="008810A2" w:rsidRDefault="008810A2">
      <w:pPr>
        <w:ind w:firstLineChars="50" w:firstLine="105"/>
        <w:rPr>
          <w:color w:val="000000" w:themeColor="text1"/>
        </w:rPr>
      </w:pPr>
    </w:p>
    <w:tbl>
      <w:tblPr>
        <w:tblW w:w="7660" w:type="dxa"/>
        <w:tblLook w:val="04A0" w:firstRow="1" w:lastRow="0" w:firstColumn="1" w:lastColumn="0" w:noHBand="0" w:noVBand="1"/>
      </w:tblPr>
      <w:tblGrid>
        <w:gridCol w:w="7660"/>
      </w:tblGrid>
      <w:tr w:rsidR="008810A2" w14:paraId="449F5130" w14:textId="77777777">
        <w:trPr>
          <w:trHeight w:val="288"/>
        </w:trPr>
        <w:tc>
          <w:tcPr>
            <w:tcW w:w="7660" w:type="dxa"/>
            <w:tcBorders>
              <w:top w:val="nil"/>
              <w:left w:val="nil"/>
              <w:bottom w:val="nil"/>
              <w:right w:val="nil"/>
            </w:tcBorders>
            <w:shd w:val="clear" w:color="auto" w:fill="auto"/>
            <w:noWrap/>
            <w:vAlign w:val="center"/>
          </w:tcPr>
          <w:p w14:paraId="699CEF90" w14:textId="77777777" w:rsidR="008810A2" w:rsidRDefault="00D921E0">
            <w:pPr>
              <w:widowControl/>
              <w:spacing w:line="240" w:lineRule="auto"/>
              <w:ind w:firstLineChars="0" w:firstLine="0"/>
              <w:jc w:val="left"/>
              <w:rPr>
                <w:rFonts w:ascii="宋体" w:hAnsi="宋体" w:cs="宋体"/>
                <w:color w:val="000000"/>
                <w:kern w:val="0"/>
                <w:szCs w:val="21"/>
              </w:rPr>
            </w:pPr>
            <w:r>
              <w:rPr>
                <w:rFonts w:ascii="宋体" w:hAnsi="宋体" w:cs="宋体" w:hint="eastAsia"/>
                <w:color w:val="000000"/>
                <w:kern w:val="0"/>
                <w:szCs w:val="21"/>
              </w:rPr>
              <w:t>中央机构编制委员会办公室政务和公益机构域名注册服务中心</w:t>
            </w:r>
          </w:p>
        </w:tc>
      </w:tr>
      <w:tr w:rsidR="008810A2" w14:paraId="5B607C64" w14:textId="77777777">
        <w:trPr>
          <w:trHeight w:val="288"/>
        </w:trPr>
        <w:tc>
          <w:tcPr>
            <w:tcW w:w="7660" w:type="dxa"/>
            <w:tcBorders>
              <w:top w:val="nil"/>
              <w:left w:val="nil"/>
              <w:bottom w:val="nil"/>
              <w:right w:val="nil"/>
            </w:tcBorders>
            <w:shd w:val="clear" w:color="auto" w:fill="auto"/>
            <w:noWrap/>
            <w:vAlign w:val="center"/>
          </w:tcPr>
          <w:p w14:paraId="2EFA822B" w14:textId="77777777" w:rsidR="008810A2" w:rsidRDefault="00D921E0">
            <w:pPr>
              <w:widowControl/>
              <w:spacing w:line="240" w:lineRule="auto"/>
              <w:ind w:firstLineChars="0" w:firstLine="0"/>
              <w:jc w:val="left"/>
              <w:rPr>
                <w:rFonts w:ascii="宋体" w:hAnsi="宋体" w:cs="宋体"/>
                <w:color w:val="000000"/>
                <w:kern w:val="0"/>
                <w:szCs w:val="21"/>
              </w:rPr>
            </w:pPr>
            <w:r>
              <w:rPr>
                <w:rFonts w:ascii="宋体" w:hAnsi="宋体" w:cs="宋体" w:hint="eastAsia"/>
                <w:color w:val="000000"/>
                <w:kern w:val="0"/>
                <w:szCs w:val="21"/>
              </w:rPr>
              <w:t>中央党校（国家行政学院）电子政务研究中心</w:t>
            </w:r>
          </w:p>
        </w:tc>
      </w:tr>
      <w:tr w:rsidR="008810A2" w14:paraId="18E767C1" w14:textId="77777777">
        <w:trPr>
          <w:trHeight w:val="288"/>
        </w:trPr>
        <w:tc>
          <w:tcPr>
            <w:tcW w:w="7660" w:type="dxa"/>
            <w:tcBorders>
              <w:top w:val="nil"/>
              <w:left w:val="nil"/>
              <w:bottom w:val="nil"/>
              <w:right w:val="nil"/>
            </w:tcBorders>
            <w:shd w:val="clear" w:color="auto" w:fill="auto"/>
            <w:noWrap/>
            <w:vAlign w:val="center"/>
          </w:tcPr>
          <w:p w14:paraId="1F910131" w14:textId="77777777" w:rsidR="008810A2" w:rsidRDefault="00D921E0">
            <w:pPr>
              <w:widowControl/>
              <w:spacing w:line="240" w:lineRule="auto"/>
              <w:ind w:firstLineChars="0" w:firstLine="0"/>
              <w:jc w:val="left"/>
              <w:rPr>
                <w:rFonts w:ascii="宋体" w:hAnsi="宋体" w:cs="宋体"/>
                <w:color w:val="000000"/>
                <w:kern w:val="0"/>
                <w:szCs w:val="21"/>
              </w:rPr>
            </w:pPr>
            <w:r>
              <w:rPr>
                <w:rFonts w:ascii="宋体" w:hAnsi="宋体" w:cs="宋体" w:hint="eastAsia"/>
                <w:color w:val="000000"/>
                <w:kern w:val="0"/>
                <w:szCs w:val="21"/>
              </w:rPr>
              <w:t>中国信息通信研究院</w:t>
            </w:r>
          </w:p>
        </w:tc>
      </w:tr>
      <w:tr w:rsidR="008810A2" w14:paraId="4B988B91" w14:textId="77777777">
        <w:trPr>
          <w:trHeight w:val="288"/>
        </w:trPr>
        <w:tc>
          <w:tcPr>
            <w:tcW w:w="7660" w:type="dxa"/>
            <w:tcBorders>
              <w:top w:val="nil"/>
              <w:left w:val="nil"/>
              <w:bottom w:val="nil"/>
              <w:right w:val="nil"/>
            </w:tcBorders>
            <w:shd w:val="clear" w:color="auto" w:fill="auto"/>
            <w:noWrap/>
            <w:vAlign w:val="center"/>
          </w:tcPr>
          <w:p w14:paraId="00841E60" w14:textId="77777777" w:rsidR="008810A2" w:rsidRDefault="00D921E0">
            <w:pPr>
              <w:widowControl/>
              <w:spacing w:line="240" w:lineRule="auto"/>
              <w:ind w:firstLineChars="0" w:firstLine="0"/>
              <w:jc w:val="left"/>
              <w:rPr>
                <w:rFonts w:ascii="宋体" w:hAnsi="宋体" w:cs="宋体"/>
                <w:color w:val="000000"/>
                <w:kern w:val="0"/>
                <w:szCs w:val="21"/>
              </w:rPr>
            </w:pPr>
            <w:r>
              <w:rPr>
                <w:rFonts w:ascii="宋体" w:hAnsi="宋体" w:cs="宋体" w:hint="eastAsia"/>
                <w:color w:val="000000"/>
                <w:kern w:val="0"/>
                <w:szCs w:val="21"/>
              </w:rPr>
              <w:t>中国科学院计算机网络信息中心</w:t>
            </w:r>
          </w:p>
          <w:p w14:paraId="678DF262" w14:textId="77777777" w:rsidR="008810A2" w:rsidRDefault="00D921E0">
            <w:pPr>
              <w:widowControl/>
              <w:spacing w:line="240" w:lineRule="auto"/>
              <w:ind w:firstLineChars="0" w:firstLine="0"/>
              <w:jc w:val="left"/>
              <w:rPr>
                <w:rFonts w:ascii="宋体" w:hAnsi="宋体" w:cs="宋体"/>
                <w:color w:val="000000"/>
                <w:kern w:val="0"/>
                <w:szCs w:val="21"/>
              </w:rPr>
            </w:pPr>
            <w:r>
              <w:rPr>
                <w:rFonts w:ascii="宋体" w:hAnsi="宋体" w:cs="宋体" w:hint="eastAsia"/>
                <w:color w:val="000000"/>
                <w:kern w:val="0"/>
                <w:szCs w:val="21"/>
              </w:rPr>
              <w:t>中国教育和科研计算机网网络中心</w:t>
            </w:r>
          </w:p>
        </w:tc>
      </w:tr>
    </w:tbl>
    <w:p w14:paraId="362F298B" w14:textId="77777777" w:rsidR="008810A2" w:rsidRDefault="008810A2">
      <w:pPr>
        <w:ind w:firstLineChars="50" w:firstLine="105"/>
        <w:rPr>
          <w:color w:val="000000" w:themeColor="text1"/>
        </w:rPr>
      </w:pPr>
    </w:p>
    <w:tbl>
      <w:tblPr>
        <w:tblW w:w="9862" w:type="dxa"/>
        <w:tblLook w:val="04A0" w:firstRow="1" w:lastRow="0" w:firstColumn="1" w:lastColumn="0" w:noHBand="0" w:noVBand="1"/>
      </w:tblPr>
      <w:tblGrid>
        <w:gridCol w:w="4082"/>
        <w:gridCol w:w="5780"/>
      </w:tblGrid>
      <w:tr w:rsidR="008810A2" w14:paraId="3BC7D8CB" w14:textId="77777777" w:rsidTr="00407C9F">
        <w:trPr>
          <w:trHeight w:val="280"/>
        </w:trPr>
        <w:tc>
          <w:tcPr>
            <w:tcW w:w="4082" w:type="dxa"/>
            <w:tcBorders>
              <w:top w:val="nil"/>
              <w:left w:val="nil"/>
              <w:bottom w:val="nil"/>
              <w:right w:val="nil"/>
            </w:tcBorders>
            <w:shd w:val="clear" w:color="auto" w:fill="auto"/>
            <w:noWrap/>
            <w:vAlign w:val="center"/>
          </w:tcPr>
          <w:p w14:paraId="4A599A9A"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中国移动通信集团有限公司</w:t>
            </w:r>
          </w:p>
        </w:tc>
        <w:tc>
          <w:tcPr>
            <w:tcW w:w="5780" w:type="dxa"/>
            <w:tcBorders>
              <w:top w:val="nil"/>
              <w:left w:val="nil"/>
              <w:bottom w:val="nil"/>
              <w:right w:val="nil"/>
            </w:tcBorders>
            <w:shd w:val="clear" w:color="auto" w:fill="auto"/>
            <w:noWrap/>
            <w:vAlign w:val="center"/>
          </w:tcPr>
          <w:p w14:paraId="6A8CEF5E"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中国电信集团有限公司</w:t>
            </w:r>
          </w:p>
        </w:tc>
      </w:tr>
      <w:tr w:rsidR="008810A2" w14:paraId="63AFDD8B" w14:textId="77777777" w:rsidTr="00407C9F">
        <w:trPr>
          <w:trHeight w:val="280"/>
        </w:trPr>
        <w:tc>
          <w:tcPr>
            <w:tcW w:w="4082" w:type="dxa"/>
            <w:tcBorders>
              <w:top w:val="nil"/>
              <w:left w:val="nil"/>
              <w:bottom w:val="nil"/>
              <w:right w:val="nil"/>
            </w:tcBorders>
            <w:shd w:val="clear" w:color="auto" w:fill="auto"/>
            <w:noWrap/>
            <w:vAlign w:val="center"/>
          </w:tcPr>
          <w:p w14:paraId="7CD4AFF2"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中国联合网络通信集团有限公司</w:t>
            </w:r>
          </w:p>
        </w:tc>
        <w:tc>
          <w:tcPr>
            <w:tcW w:w="5780" w:type="dxa"/>
            <w:tcBorders>
              <w:top w:val="nil"/>
              <w:left w:val="nil"/>
              <w:bottom w:val="nil"/>
              <w:right w:val="nil"/>
            </w:tcBorders>
            <w:shd w:val="clear" w:color="auto" w:fill="auto"/>
            <w:noWrap/>
            <w:vAlign w:val="center"/>
          </w:tcPr>
          <w:p w14:paraId="066ECCB5"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北京开普云信息科技有限公司</w:t>
            </w:r>
          </w:p>
        </w:tc>
      </w:tr>
      <w:tr w:rsidR="008810A2" w14:paraId="22CA0FFA" w14:textId="77777777" w:rsidTr="00407C9F">
        <w:trPr>
          <w:trHeight w:val="280"/>
        </w:trPr>
        <w:tc>
          <w:tcPr>
            <w:tcW w:w="4082" w:type="dxa"/>
            <w:tcBorders>
              <w:top w:val="nil"/>
              <w:left w:val="nil"/>
              <w:bottom w:val="nil"/>
              <w:right w:val="nil"/>
            </w:tcBorders>
            <w:shd w:val="clear" w:color="auto" w:fill="auto"/>
            <w:noWrap/>
            <w:vAlign w:val="center"/>
          </w:tcPr>
          <w:p w14:paraId="6CD31AA0"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百度在线网络技术（北京）有限公司</w:t>
            </w:r>
          </w:p>
        </w:tc>
        <w:tc>
          <w:tcPr>
            <w:tcW w:w="5780" w:type="dxa"/>
            <w:tcBorders>
              <w:top w:val="nil"/>
              <w:left w:val="nil"/>
              <w:bottom w:val="nil"/>
              <w:right w:val="nil"/>
            </w:tcBorders>
            <w:shd w:val="clear" w:color="auto" w:fill="auto"/>
            <w:noWrap/>
            <w:vAlign w:val="center"/>
          </w:tcPr>
          <w:p w14:paraId="79B15300"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proofErr w:type="gramStart"/>
            <w:r>
              <w:rPr>
                <w:rFonts w:asciiTheme="minorEastAsia" w:eastAsiaTheme="minorEastAsia" w:hAnsiTheme="minorEastAsia" w:cs="宋体" w:hint="eastAsia"/>
                <w:color w:val="000000"/>
                <w:kern w:val="0"/>
                <w:szCs w:val="21"/>
              </w:rPr>
              <w:t>腾讯云</w:t>
            </w:r>
            <w:proofErr w:type="gramEnd"/>
            <w:r>
              <w:rPr>
                <w:rFonts w:asciiTheme="minorEastAsia" w:eastAsiaTheme="minorEastAsia" w:hAnsiTheme="minorEastAsia" w:cs="宋体" w:hint="eastAsia"/>
                <w:color w:val="000000"/>
                <w:kern w:val="0"/>
                <w:szCs w:val="21"/>
              </w:rPr>
              <w:t>计算（北京）有限责任公司</w:t>
            </w:r>
          </w:p>
        </w:tc>
      </w:tr>
      <w:tr w:rsidR="008810A2" w14:paraId="2279EAA7" w14:textId="77777777" w:rsidTr="00407C9F">
        <w:trPr>
          <w:trHeight w:val="280"/>
        </w:trPr>
        <w:tc>
          <w:tcPr>
            <w:tcW w:w="4082" w:type="dxa"/>
            <w:tcBorders>
              <w:top w:val="nil"/>
              <w:left w:val="nil"/>
              <w:bottom w:val="nil"/>
              <w:right w:val="nil"/>
            </w:tcBorders>
            <w:shd w:val="clear" w:color="auto" w:fill="auto"/>
            <w:noWrap/>
            <w:vAlign w:val="center"/>
          </w:tcPr>
          <w:p w14:paraId="3CD3AFBB"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北京</w:t>
            </w:r>
            <w:proofErr w:type="gramStart"/>
            <w:r>
              <w:rPr>
                <w:rFonts w:asciiTheme="minorEastAsia" w:eastAsiaTheme="minorEastAsia" w:hAnsiTheme="minorEastAsia" w:cs="宋体" w:hint="eastAsia"/>
                <w:color w:val="000000"/>
                <w:kern w:val="0"/>
                <w:szCs w:val="21"/>
              </w:rPr>
              <w:t>微梦创科</w:t>
            </w:r>
            <w:proofErr w:type="gramEnd"/>
            <w:r>
              <w:rPr>
                <w:rFonts w:asciiTheme="minorEastAsia" w:eastAsiaTheme="minorEastAsia" w:hAnsiTheme="minorEastAsia" w:cs="宋体" w:hint="eastAsia"/>
                <w:color w:val="000000"/>
                <w:kern w:val="0"/>
                <w:szCs w:val="21"/>
              </w:rPr>
              <w:t>网络技术有限公司（微博）</w:t>
            </w:r>
          </w:p>
        </w:tc>
        <w:tc>
          <w:tcPr>
            <w:tcW w:w="5780" w:type="dxa"/>
            <w:tcBorders>
              <w:top w:val="nil"/>
              <w:left w:val="nil"/>
              <w:bottom w:val="nil"/>
              <w:right w:val="nil"/>
            </w:tcBorders>
            <w:shd w:val="clear" w:color="auto" w:fill="auto"/>
            <w:noWrap/>
            <w:vAlign w:val="center"/>
          </w:tcPr>
          <w:p w14:paraId="20095E78"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北京抖音信</w:t>
            </w:r>
            <w:proofErr w:type="gramStart"/>
            <w:r>
              <w:rPr>
                <w:rFonts w:asciiTheme="minorEastAsia" w:eastAsiaTheme="minorEastAsia" w:hAnsiTheme="minorEastAsia" w:cs="宋体" w:hint="eastAsia"/>
                <w:color w:val="000000"/>
                <w:kern w:val="0"/>
                <w:szCs w:val="21"/>
              </w:rPr>
              <w:t>息</w:t>
            </w:r>
            <w:proofErr w:type="gramEnd"/>
            <w:r>
              <w:rPr>
                <w:rFonts w:asciiTheme="minorEastAsia" w:eastAsiaTheme="minorEastAsia" w:hAnsiTheme="minorEastAsia" w:cs="宋体" w:hint="eastAsia"/>
                <w:color w:val="000000"/>
                <w:kern w:val="0"/>
                <w:szCs w:val="21"/>
              </w:rPr>
              <w:t>服务有限公司</w:t>
            </w:r>
          </w:p>
        </w:tc>
      </w:tr>
      <w:tr w:rsidR="008810A2" w14:paraId="5CB4AF59" w14:textId="77777777" w:rsidTr="00407C9F">
        <w:trPr>
          <w:trHeight w:val="280"/>
        </w:trPr>
        <w:tc>
          <w:tcPr>
            <w:tcW w:w="4082" w:type="dxa"/>
            <w:tcBorders>
              <w:top w:val="nil"/>
              <w:left w:val="nil"/>
              <w:bottom w:val="nil"/>
              <w:right w:val="nil"/>
            </w:tcBorders>
            <w:shd w:val="clear" w:color="auto" w:fill="auto"/>
            <w:noWrap/>
            <w:vAlign w:val="center"/>
          </w:tcPr>
          <w:p w14:paraId="3A2BBFF7" w14:textId="77777777" w:rsidR="008810A2" w:rsidRDefault="00D921E0">
            <w:pPr>
              <w:widowControl/>
              <w:spacing w:line="240" w:lineRule="auto"/>
              <w:ind w:firstLineChars="0" w:firstLine="0"/>
              <w:jc w:val="left"/>
              <w:rPr>
                <w:color w:val="000000"/>
                <w:kern w:val="0"/>
                <w:szCs w:val="21"/>
              </w:rPr>
            </w:pPr>
            <w:r>
              <w:rPr>
                <w:color w:val="000000"/>
                <w:szCs w:val="21"/>
              </w:rPr>
              <w:t>阿里巴巴云计算（北京）有限公司</w:t>
            </w:r>
          </w:p>
        </w:tc>
        <w:tc>
          <w:tcPr>
            <w:tcW w:w="5780" w:type="dxa"/>
            <w:tcBorders>
              <w:top w:val="nil"/>
              <w:left w:val="nil"/>
              <w:bottom w:val="nil"/>
              <w:right w:val="nil"/>
            </w:tcBorders>
            <w:shd w:val="clear" w:color="auto" w:fill="auto"/>
            <w:noWrap/>
            <w:vAlign w:val="center"/>
          </w:tcPr>
          <w:p w14:paraId="3B704285" w14:textId="77777777" w:rsidR="008810A2" w:rsidRDefault="00D921E0">
            <w:pPr>
              <w:widowControl/>
              <w:spacing w:line="240" w:lineRule="auto"/>
              <w:ind w:firstLineChars="0" w:firstLine="0"/>
              <w:jc w:val="left"/>
              <w:rPr>
                <w:color w:val="000000"/>
                <w:kern w:val="0"/>
                <w:szCs w:val="21"/>
              </w:rPr>
            </w:pPr>
            <w:r>
              <w:rPr>
                <w:color w:val="000000"/>
                <w:szCs w:val="21"/>
              </w:rPr>
              <w:t>阿里云计算有限公司</w:t>
            </w:r>
          </w:p>
        </w:tc>
      </w:tr>
      <w:tr w:rsidR="008810A2" w14:paraId="0889A37E" w14:textId="77777777" w:rsidTr="00407C9F">
        <w:trPr>
          <w:trHeight w:val="280"/>
        </w:trPr>
        <w:tc>
          <w:tcPr>
            <w:tcW w:w="4082" w:type="dxa"/>
            <w:tcBorders>
              <w:top w:val="nil"/>
              <w:left w:val="nil"/>
              <w:bottom w:val="nil"/>
              <w:right w:val="nil"/>
            </w:tcBorders>
            <w:shd w:val="clear" w:color="auto" w:fill="auto"/>
            <w:noWrap/>
            <w:vAlign w:val="center"/>
          </w:tcPr>
          <w:p w14:paraId="1AB7CAAB" w14:textId="77777777" w:rsidR="008810A2" w:rsidRDefault="00D921E0">
            <w:pPr>
              <w:widowControl/>
              <w:spacing w:line="240" w:lineRule="auto"/>
              <w:ind w:firstLineChars="0" w:firstLine="0"/>
              <w:jc w:val="left"/>
              <w:rPr>
                <w:color w:val="000000"/>
                <w:kern w:val="0"/>
                <w:szCs w:val="21"/>
              </w:rPr>
            </w:pPr>
            <w:r>
              <w:rPr>
                <w:color w:val="000000"/>
                <w:szCs w:val="21"/>
              </w:rPr>
              <w:t>北京东方网景信息科技有限公司</w:t>
            </w:r>
          </w:p>
        </w:tc>
        <w:tc>
          <w:tcPr>
            <w:tcW w:w="5780" w:type="dxa"/>
            <w:tcBorders>
              <w:top w:val="nil"/>
              <w:left w:val="nil"/>
              <w:bottom w:val="nil"/>
              <w:right w:val="nil"/>
            </w:tcBorders>
            <w:shd w:val="clear" w:color="auto" w:fill="auto"/>
            <w:noWrap/>
            <w:vAlign w:val="center"/>
          </w:tcPr>
          <w:p w14:paraId="17E6B3BA" w14:textId="77777777" w:rsidR="008810A2" w:rsidRDefault="00D921E0">
            <w:pPr>
              <w:widowControl/>
              <w:spacing w:line="240" w:lineRule="auto"/>
              <w:ind w:firstLineChars="0" w:firstLine="0"/>
              <w:jc w:val="left"/>
              <w:rPr>
                <w:color w:val="000000"/>
                <w:kern w:val="0"/>
                <w:szCs w:val="21"/>
              </w:rPr>
            </w:pPr>
            <w:r>
              <w:rPr>
                <w:color w:val="000000"/>
                <w:szCs w:val="21"/>
              </w:rPr>
              <w:t>北京国科云计算技术有限公司</w:t>
            </w:r>
          </w:p>
        </w:tc>
      </w:tr>
      <w:tr w:rsidR="008810A2" w14:paraId="28AA1763" w14:textId="77777777" w:rsidTr="00407C9F">
        <w:trPr>
          <w:trHeight w:val="280"/>
        </w:trPr>
        <w:tc>
          <w:tcPr>
            <w:tcW w:w="4082" w:type="dxa"/>
            <w:tcBorders>
              <w:top w:val="nil"/>
              <w:left w:val="nil"/>
              <w:bottom w:val="nil"/>
              <w:right w:val="nil"/>
            </w:tcBorders>
            <w:shd w:val="clear" w:color="auto" w:fill="auto"/>
            <w:noWrap/>
            <w:vAlign w:val="center"/>
          </w:tcPr>
          <w:p w14:paraId="2351BFBD" w14:textId="77777777" w:rsidR="008810A2" w:rsidRDefault="00D921E0">
            <w:pPr>
              <w:widowControl/>
              <w:spacing w:line="240" w:lineRule="auto"/>
              <w:ind w:firstLineChars="0" w:firstLine="0"/>
              <w:jc w:val="left"/>
              <w:rPr>
                <w:color w:val="000000"/>
                <w:kern w:val="0"/>
                <w:szCs w:val="21"/>
              </w:rPr>
            </w:pPr>
            <w:r>
              <w:rPr>
                <w:color w:val="000000"/>
                <w:szCs w:val="21"/>
              </w:rPr>
              <w:t>北京国旭网络科技有限公司</w:t>
            </w:r>
          </w:p>
        </w:tc>
        <w:tc>
          <w:tcPr>
            <w:tcW w:w="5780" w:type="dxa"/>
            <w:tcBorders>
              <w:top w:val="nil"/>
              <w:left w:val="nil"/>
              <w:bottom w:val="nil"/>
              <w:right w:val="nil"/>
            </w:tcBorders>
            <w:shd w:val="clear" w:color="auto" w:fill="auto"/>
            <w:noWrap/>
            <w:vAlign w:val="center"/>
          </w:tcPr>
          <w:p w14:paraId="12357A86" w14:textId="77777777" w:rsidR="008810A2" w:rsidRDefault="00D921E0">
            <w:pPr>
              <w:widowControl/>
              <w:spacing w:line="240" w:lineRule="auto"/>
              <w:ind w:firstLineChars="0" w:firstLine="0"/>
              <w:jc w:val="left"/>
              <w:rPr>
                <w:color w:val="000000"/>
                <w:kern w:val="0"/>
                <w:szCs w:val="21"/>
              </w:rPr>
            </w:pPr>
            <w:r>
              <w:rPr>
                <w:color w:val="000000"/>
                <w:szCs w:val="21"/>
              </w:rPr>
              <w:t>北京万维通港科技有限公司</w:t>
            </w:r>
          </w:p>
        </w:tc>
      </w:tr>
      <w:tr w:rsidR="008810A2" w14:paraId="7ADF66E0" w14:textId="77777777" w:rsidTr="00407C9F">
        <w:trPr>
          <w:trHeight w:val="280"/>
        </w:trPr>
        <w:tc>
          <w:tcPr>
            <w:tcW w:w="4082" w:type="dxa"/>
            <w:tcBorders>
              <w:top w:val="nil"/>
              <w:left w:val="nil"/>
              <w:bottom w:val="nil"/>
              <w:right w:val="nil"/>
            </w:tcBorders>
            <w:shd w:val="clear" w:color="auto" w:fill="auto"/>
            <w:noWrap/>
            <w:vAlign w:val="center"/>
          </w:tcPr>
          <w:p w14:paraId="204FE6FE" w14:textId="77777777" w:rsidR="008810A2" w:rsidRDefault="00D921E0">
            <w:pPr>
              <w:widowControl/>
              <w:spacing w:line="240" w:lineRule="auto"/>
              <w:ind w:firstLineChars="0" w:firstLine="0"/>
              <w:jc w:val="left"/>
              <w:rPr>
                <w:color w:val="000000"/>
                <w:kern w:val="0"/>
                <w:szCs w:val="21"/>
              </w:rPr>
            </w:pPr>
            <w:r>
              <w:rPr>
                <w:color w:val="000000"/>
                <w:szCs w:val="21"/>
              </w:rPr>
              <w:t>北京新网数码信息技术有限公司</w:t>
            </w:r>
          </w:p>
        </w:tc>
        <w:tc>
          <w:tcPr>
            <w:tcW w:w="5780" w:type="dxa"/>
            <w:tcBorders>
              <w:top w:val="nil"/>
              <w:left w:val="nil"/>
              <w:bottom w:val="nil"/>
              <w:right w:val="nil"/>
            </w:tcBorders>
            <w:shd w:val="clear" w:color="auto" w:fill="auto"/>
            <w:noWrap/>
            <w:vAlign w:val="center"/>
          </w:tcPr>
          <w:p w14:paraId="345D5054" w14:textId="77777777" w:rsidR="008810A2" w:rsidRDefault="00D921E0">
            <w:pPr>
              <w:widowControl/>
              <w:spacing w:line="240" w:lineRule="auto"/>
              <w:ind w:firstLineChars="0" w:firstLine="0"/>
              <w:jc w:val="left"/>
              <w:rPr>
                <w:szCs w:val="21"/>
              </w:rPr>
            </w:pPr>
            <w:r>
              <w:rPr>
                <w:color w:val="000000"/>
                <w:szCs w:val="21"/>
              </w:rPr>
              <w:t>北京中万网络科技有限责任公司</w:t>
            </w:r>
          </w:p>
        </w:tc>
      </w:tr>
      <w:tr w:rsidR="008810A2" w14:paraId="067E102F" w14:textId="77777777" w:rsidTr="00407C9F">
        <w:trPr>
          <w:trHeight w:val="280"/>
        </w:trPr>
        <w:tc>
          <w:tcPr>
            <w:tcW w:w="4082" w:type="dxa"/>
            <w:tcBorders>
              <w:top w:val="nil"/>
              <w:left w:val="nil"/>
              <w:bottom w:val="nil"/>
              <w:right w:val="nil"/>
            </w:tcBorders>
            <w:shd w:val="clear" w:color="auto" w:fill="auto"/>
            <w:noWrap/>
            <w:vAlign w:val="center"/>
          </w:tcPr>
          <w:p w14:paraId="677AA0B3" w14:textId="77777777" w:rsidR="008810A2" w:rsidRDefault="00D921E0">
            <w:pPr>
              <w:widowControl/>
              <w:spacing w:line="240" w:lineRule="auto"/>
              <w:ind w:firstLineChars="0" w:firstLine="0"/>
              <w:jc w:val="left"/>
              <w:rPr>
                <w:color w:val="000000"/>
                <w:kern w:val="0"/>
                <w:szCs w:val="21"/>
              </w:rPr>
            </w:pPr>
            <w:r>
              <w:rPr>
                <w:color w:val="000000"/>
                <w:szCs w:val="21"/>
              </w:rPr>
              <w:t>北京</w:t>
            </w:r>
            <w:proofErr w:type="gramStart"/>
            <w:r>
              <w:rPr>
                <w:color w:val="000000"/>
                <w:szCs w:val="21"/>
              </w:rPr>
              <w:t>中域智科</w:t>
            </w:r>
            <w:proofErr w:type="gramEnd"/>
            <w:r>
              <w:rPr>
                <w:color w:val="000000"/>
                <w:szCs w:val="21"/>
              </w:rPr>
              <w:t>国际网络技术有限公司</w:t>
            </w:r>
          </w:p>
        </w:tc>
        <w:tc>
          <w:tcPr>
            <w:tcW w:w="5780" w:type="dxa"/>
            <w:tcBorders>
              <w:top w:val="nil"/>
              <w:left w:val="nil"/>
              <w:bottom w:val="nil"/>
              <w:right w:val="nil"/>
            </w:tcBorders>
            <w:shd w:val="clear" w:color="auto" w:fill="auto"/>
            <w:noWrap/>
            <w:vAlign w:val="center"/>
          </w:tcPr>
          <w:p w14:paraId="6673E0A5" w14:textId="77777777" w:rsidR="008810A2" w:rsidRDefault="00D921E0">
            <w:pPr>
              <w:widowControl/>
              <w:spacing w:line="240" w:lineRule="auto"/>
              <w:ind w:firstLineChars="0" w:firstLine="0"/>
              <w:jc w:val="left"/>
              <w:rPr>
                <w:szCs w:val="21"/>
              </w:rPr>
            </w:pPr>
            <w:r>
              <w:rPr>
                <w:color w:val="000000"/>
                <w:szCs w:val="21"/>
              </w:rPr>
              <w:t>北京卓越盛名科技有限公司</w:t>
            </w:r>
          </w:p>
        </w:tc>
      </w:tr>
      <w:tr w:rsidR="008810A2" w14:paraId="0CE9FB5C" w14:textId="77777777" w:rsidTr="00407C9F">
        <w:trPr>
          <w:trHeight w:val="280"/>
        </w:trPr>
        <w:tc>
          <w:tcPr>
            <w:tcW w:w="4082" w:type="dxa"/>
            <w:tcBorders>
              <w:top w:val="nil"/>
              <w:left w:val="nil"/>
              <w:bottom w:val="nil"/>
              <w:right w:val="nil"/>
            </w:tcBorders>
            <w:shd w:val="clear" w:color="auto" w:fill="auto"/>
            <w:noWrap/>
            <w:vAlign w:val="center"/>
          </w:tcPr>
          <w:p w14:paraId="2D3F8051" w14:textId="77777777" w:rsidR="008810A2" w:rsidRDefault="00D921E0">
            <w:pPr>
              <w:widowControl/>
              <w:spacing w:line="240" w:lineRule="auto"/>
              <w:ind w:firstLineChars="0" w:firstLine="0"/>
              <w:jc w:val="left"/>
              <w:rPr>
                <w:color w:val="000000"/>
                <w:kern w:val="0"/>
                <w:szCs w:val="21"/>
              </w:rPr>
            </w:pPr>
            <w:r>
              <w:rPr>
                <w:color w:val="000000"/>
                <w:szCs w:val="21"/>
              </w:rPr>
              <w:t>北京资海科技有限责任公司</w:t>
            </w:r>
          </w:p>
        </w:tc>
        <w:tc>
          <w:tcPr>
            <w:tcW w:w="5780" w:type="dxa"/>
            <w:tcBorders>
              <w:top w:val="nil"/>
              <w:left w:val="nil"/>
              <w:bottom w:val="nil"/>
              <w:right w:val="nil"/>
            </w:tcBorders>
            <w:shd w:val="clear" w:color="auto" w:fill="auto"/>
            <w:noWrap/>
            <w:vAlign w:val="center"/>
          </w:tcPr>
          <w:p w14:paraId="782A6177" w14:textId="77777777" w:rsidR="008810A2" w:rsidRDefault="00D921E0">
            <w:pPr>
              <w:widowControl/>
              <w:spacing w:line="240" w:lineRule="auto"/>
              <w:ind w:firstLineChars="0" w:firstLine="0"/>
              <w:jc w:val="left"/>
              <w:rPr>
                <w:color w:val="000000"/>
                <w:kern w:val="0"/>
                <w:szCs w:val="21"/>
              </w:rPr>
            </w:pPr>
            <w:r>
              <w:rPr>
                <w:color w:val="000000"/>
                <w:szCs w:val="21"/>
              </w:rPr>
              <w:t>成都飞数科技有限公司</w:t>
            </w:r>
          </w:p>
        </w:tc>
      </w:tr>
      <w:tr w:rsidR="008810A2" w14:paraId="51193B35" w14:textId="77777777" w:rsidTr="00407C9F">
        <w:trPr>
          <w:trHeight w:val="280"/>
        </w:trPr>
        <w:tc>
          <w:tcPr>
            <w:tcW w:w="4082" w:type="dxa"/>
            <w:tcBorders>
              <w:top w:val="nil"/>
              <w:left w:val="nil"/>
              <w:bottom w:val="nil"/>
              <w:right w:val="nil"/>
            </w:tcBorders>
            <w:shd w:val="clear" w:color="auto" w:fill="auto"/>
            <w:noWrap/>
            <w:vAlign w:val="center"/>
          </w:tcPr>
          <w:p w14:paraId="075CA5E8" w14:textId="77777777" w:rsidR="008810A2" w:rsidRDefault="00D921E0">
            <w:pPr>
              <w:widowControl/>
              <w:spacing w:line="240" w:lineRule="auto"/>
              <w:ind w:firstLineChars="0" w:firstLine="0"/>
              <w:jc w:val="left"/>
              <w:rPr>
                <w:color w:val="000000"/>
                <w:kern w:val="0"/>
                <w:szCs w:val="21"/>
              </w:rPr>
            </w:pPr>
            <w:r>
              <w:rPr>
                <w:color w:val="000000"/>
                <w:szCs w:val="21"/>
              </w:rPr>
              <w:t>成都</w:t>
            </w:r>
            <w:proofErr w:type="gramStart"/>
            <w:r>
              <w:rPr>
                <w:color w:val="000000"/>
                <w:szCs w:val="21"/>
              </w:rPr>
              <w:t>世纪东方</w:t>
            </w:r>
            <w:proofErr w:type="gramEnd"/>
            <w:r>
              <w:rPr>
                <w:color w:val="000000"/>
                <w:szCs w:val="21"/>
              </w:rPr>
              <w:t>网络通信有限公司</w:t>
            </w:r>
          </w:p>
        </w:tc>
        <w:tc>
          <w:tcPr>
            <w:tcW w:w="5780" w:type="dxa"/>
            <w:tcBorders>
              <w:top w:val="nil"/>
              <w:left w:val="nil"/>
              <w:bottom w:val="nil"/>
              <w:right w:val="nil"/>
            </w:tcBorders>
            <w:shd w:val="clear" w:color="auto" w:fill="auto"/>
            <w:noWrap/>
            <w:vAlign w:val="center"/>
          </w:tcPr>
          <w:p w14:paraId="08557294" w14:textId="77777777" w:rsidR="008810A2" w:rsidRDefault="00D921E0">
            <w:pPr>
              <w:widowControl/>
              <w:spacing w:line="240" w:lineRule="auto"/>
              <w:ind w:firstLineChars="0" w:firstLine="0"/>
              <w:jc w:val="left"/>
              <w:rPr>
                <w:color w:val="000000"/>
                <w:kern w:val="0"/>
                <w:szCs w:val="21"/>
              </w:rPr>
            </w:pPr>
            <w:r>
              <w:rPr>
                <w:color w:val="000000"/>
                <w:szCs w:val="21"/>
              </w:rPr>
              <w:t>成都西维数码科技有限公司</w:t>
            </w:r>
          </w:p>
        </w:tc>
      </w:tr>
      <w:tr w:rsidR="008810A2" w14:paraId="58C3186B" w14:textId="77777777" w:rsidTr="00407C9F">
        <w:trPr>
          <w:trHeight w:val="280"/>
        </w:trPr>
        <w:tc>
          <w:tcPr>
            <w:tcW w:w="4082" w:type="dxa"/>
            <w:tcBorders>
              <w:top w:val="nil"/>
              <w:left w:val="nil"/>
              <w:bottom w:val="nil"/>
              <w:right w:val="nil"/>
            </w:tcBorders>
            <w:shd w:val="clear" w:color="auto" w:fill="auto"/>
            <w:noWrap/>
            <w:vAlign w:val="center"/>
          </w:tcPr>
          <w:p w14:paraId="500136DF" w14:textId="77777777" w:rsidR="008810A2" w:rsidRDefault="00D921E0">
            <w:pPr>
              <w:widowControl/>
              <w:spacing w:line="240" w:lineRule="auto"/>
              <w:ind w:firstLineChars="0" w:firstLine="0"/>
              <w:jc w:val="left"/>
              <w:rPr>
                <w:color w:val="000000"/>
                <w:kern w:val="0"/>
                <w:szCs w:val="21"/>
              </w:rPr>
            </w:pPr>
            <w:r>
              <w:rPr>
                <w:color w:val="000000"/>
                <w:szCs w:val="21"/>
              </w:rPr>
              <w:t>大庆</w:t>
            </w:r>
            <w:proofErr w:type="gramStart"/>
            <w:r>
              <w:rPr>
                <w:color w:val="000000"/>
                <w:szCs w:val="21"/>
              </w:rPr>
              <w:t>市卓创</w:t>
            </w:r>
            <w:proofErr w:type="gramEnd"/>
            <w:r>
              <w:rPr>
                <w:color w:val="000000"/>
                <w:szCs w:val="21"/>
              </w:rPr>
              <w:t>多媒体制作有限公司</w:t>
            </w:r>
          </w:p>
        </w:tc>
        <w:tc>
          <w:tcPr>
            <w:tcW w:w="5780" w:type="dxa"/>
            <w:tcBorders>
              <w:top w:val="nil"/>
              <w:left w:val="nil"/>
              <w:bottom w:val="nil"/>
              <w:right w:val="nil"/>
            </w:tcBorders>
            <w:shd w:val="clear" w:color="auto" w:fill="auto"/>
            <w:noWrap/>
            <w:vAlign w:val="center"/>
          </w:tcPr>
          <w:p w14:paraId="59A2E1F3" w14:textId="77777777" w:rsidR="008810A2" w:rsidRDefault="00D921E0">
            <w:pPr>
              <w:widowControl/>
              <w:spacing w:line="240" w:lineRule="auto"/>
              <w:ind w:firstLineChars="0" w:firstLine="0"/>
              <w:jc w:val="left"/>
              <w:rPr>
                <w:color w:val="000000"/>
                <w:kern w:val="0"/>
                <w:szCs w:val="21"/>
              </w:rPr>
            </w:pPr>
            <w:r>
              <w:rPr>
                <w:color w:val="000000"/>
                <w:szCs w:val="21"/>
              </w:rPr>
              <w:t>斗麦（上海）网络科技有限公司</w:t>
            </w:r>
          </w:p>
        </w:tc>
      </w:tr>
      <w:tr w:rsidR="008810A2" w14:paraId="404B203F" w14:textId="77777777" w:rsidTr="00407C9F">
        <w:trPr>
          <w:trHeight w:val="280"/>
        </w:trPr>
        <w:tc>
          <w:tcPr>
            <w:tcW w:w="4082" w:type="dxa"/>
            <w:tcBorders>
              <w:top w:val="nil"/>
              <w:left w:val="nil"/>
              <w:bottom w:val="nil"/>
              <w:right w:val="nil"/>
            </w:tcBorders>
            <w:shd w:val="clear" w:color="auto" w:fill="auto"/>
            <w:noWrap/>
            <w:vAlign w:val="center"/>
          </w:tcPr>
          <w:p w14:paraId="4F8CA559" w14:textId="77777777" w:rsidR="008810A2" w:rsidRDefault="00D921E0">
            <w:pPr>
              <w:widowControl/>
              <w:spacing w:line="240" w:lineRule="auto"/>
              <w:ind w:firstLineChars="0" w:firstLine="0"/>
              <w:jc w:val="left"/>
              <w:rPr>
                <w:color w:val="000000"/>
                <w:kern w:val="0"/>
                <w:szCs w:val="21"/>
              </w:rPr>
            </w:pPr>
            <w:r>
              <w:rPr>
                <w:color w:val="000000"/>
                <w:szCs w:val="21"/>
              </w:rPr>
              <w:t>泛息企业管理咨询（上海）有限公司</w:t>
            </w:r>
          </w:p>
        </w:tc>
        <w:tc>
          <w:tcPr>
            <w:tcW w:w="5780" w:type="dxa"/>
            <w:tcBorders>
              <w:top w:val="nil"/>
              <w:left w:val="nil"/>
              <w:bottom w:val="nil"/>
              <w:right w:val="nil"/>
            </w:tcBorders>
            <w:shd w:val="clear" w:color="auto" w:fill="auto"/>
            <w:noWrap/>
            <w:vAlign w:val="center"/>
          </w:tcPr>
          <w:p w14:paraId="61B0376C" w14:textId="77777777" w:rsidR="008810A2" w:rsidRDefault="00D921E0">
            <w:pPr>
              <w:widowControl/>
              <w:spacing w:line="240" w:lineRule="auto"/>
              <w:ind w:firstLineChars="0" w:firstLine="0"/>
              <w:jc w:val="left"/>
              <w:rPr>
                <w:color w:val="000000"/>
                <w:kern w:val="0"/>
                <w:szCs w:val="21"/>
              </w:rPr>
            </w:pPr>
            <w:r>
              <w:rPr>
                <w:color w:val="000000"/>
                <w:szCs w:val="21"/>
              </w:rPr>
              <w:t>佛山</w:t>
            </w:r>
            <w:proofErr w:type="gramStart"/>
            <w:r>
              <w:rPr>
                <w:color w:val="000000"/>
                <w:szCs w:val="21"/>
              </w:rPr>
              <w:t>市亿动网络</w:t>
            </w:r>
            <w:proofErr w:type="gramEnd"/>
            <w:r>
              <w:rPr>
                <w:color w:val="000000"/>
                <w:szCs w:val="21"/>
              </w:rPr>
              <w:t>有限公司</w:t>
            </w:r>
          </w:p>
        </w:tc>
      </w:tr>
      <w:tr w:rsidR="008810A2" w14:paraId="4A91F436" w14:textId="77777777" w:rsidTr="00407C9F">
        <w:trPr>
          <w:trHeight w:val="280"/>
        </w:trPr>
        <w:tc>
          <w:tcPr>
            <w:tcW w:w="4082" w:type="dxa"/>
            <w:tcBorders>
              <w:top w:val="nil"/>
              <w:left w:val="nil"/>
              <w:bottom w:val="nil"/>
              <w:right w:val="nil"/>
            </w:tcBorders>
            <w:shd w:val="clear" w:color="auto" w:fill="auto"/>
            <w:noWrap/>
            <w:vAlign w:val="center"/>
          </w:tcPr>
          <w:p w14:paraId="1D20EDF3" w14:textId="77777777" w:rsidR="008810A2" w:rsidRDefault="00D921E0">
            <w:pPr>
              <w:widowControl/>
              <w:spacing w:line="240" w:lineRule="auto"/>
              <w:ind w:firstLineChars="0" w:firstLine="0"/>
              <w:jc w:val="left"/>
              <w:rPr>
                <w:color w:val="000000"/>
                <w:kern w:val="0"/>
                <w:szCs w:val="21"/>
              </w:rPr>
            </w:pPr>
            <w:r>
              <w:rPr>
                <w:color w:val="000000"/>
                <w:szCs w:val="21"/>
              </w:rPr>
              <w:t>福州中旭网络技术有限公司</w:t>
            </w:r>
          </w:p>
        </w:tc>
        <w:tc>
          <w:tcPr>
            <w:tcW w:w="5780" w:type="dxa"/>
            <w:tcBorders>
              <w:top w:val="nil"/>
              <w:left w:val="nil"/>
              <w:bottom w:val="nil"/>
              <w:right w:val="nil"/>
            </w:tcBorders>
            <w:shd w:val="clear" w:color="auto" w:fill="auto"/>
            <w:noWrap/>
            <w:vAlign w:val="center"/>
          </w:tcPr>
          <w:p w14:paraId="13554DAF" w14:textId="77777777" w:rsidR="008810A2" w:rsidRDefault="00D921E0">
            <w:pPr>
              <w:widowControl/>
              <w:spacing w:line="240" w:lineRule="auto"/>
              <w:ind w:firstLineChars="0" w:firstLine="0"/>
              <w:jc w:val="left"/>
              <w:rPr>
                <w:color w:val="000000"/>
                <w:kern w:val="0"/>
                <w:szCs w:val="21"/>
              </w:rPr>
            </w:pPr>
            <w:r>
              <w:rPr>
                <w:color w:val="000000"/>
                <w:szCs w:val="21"/>
              </w:rPr>
              <w:t>广东互易网络知识产权有限公司</w:t>
            </w:r>
          </w:p>
        </w:tc>
      </w:tr>
      <w:tr w:rsidR="008810A2" w14:paraId="6ECF182D" w14:textId="77777777" w:rsidTr="00407C9F">
        <w:trPr>
          <w:trHeight w:val="280"/>
        </w:trPr>
        <w:tc>
          <w:tcPr>
            <w:tcW w:w="4082" w:type="dxa"/>
            <w:tcBorders>
              <w:top w:val="nil"/>
              <w:left w:val="nil"/>
              <w:bottom w:val="nil"/>
              <w:right w:val="nil"/>
            </w:tcBorders>
            <w:shd w:val="clear" w:color="auto" w:fill="auto"/>
            <w:noWrap/>
            <w:vAlign w:val="center"/>
          </w:tcPr>
          <w:p w14:paraId="5C5299F3" w14:textId="77777777" w:rsidR="008810A2" w:rsidRDefault="00D921E0">
            <w:pPr>
              <w:widowControl/>
              <w:spacing w:line="240" w:lineRule="auto"/>
              <w:ind w:firstLineChars="0" w:firstLine="0"/>
              <w:jc w:val="left"/>
              <w:rPr>
                <w:color w:val="000000"/>
                <w:kern w:val="0"/>
                <w:szCs w:val="21"/>
              </w:rPr>
            </w:pPr>
            <w:r>
              <w:rPr>
                <w:color w:val="000000"/>
                <w:szCs w:val="21"/>
              </w:rPr>
              <w:t>广东金万邦科技投资有限公司</w:t>
            </w:r>
          </w:p>
        </w:tc>
        <w:tc>
          <w:tcPr>
            <w:tcW w:w="5780" w:type="dxa"/>
            <w:tcBorders>
              <w:top w:val="nil"/>
              <w:left w:val="nil"/>
              <w:bottom w:val="nil"/>
              <w:right w:val="nil"/>
            </w:tcBorders>
            <w:shd w:val="clear" w:color="auto" w:fill="auto"/>
            <w:noWrap/>
            <w:vAlign w:val="center"/>
          </w:tcPr>
          <w:p w14:paraId="67E8F36A" w14:textId="77777777" w:rsidR="008810A2" w:rsidRDefault="00D921E0">
            <w:pPr>
              <w:widowControl/>
              <w:spacing w:line="240" w:lineRule="auto"/>
              <w:ind w:firstLineChars="0" w:firstLine="0"/>
              <w:jc w:val="left"/>
              <w:rPr>
                <w:color w:val="000000"/>
                <w:kern w:val="0"/>
                <w:szCs w:val="21"/>
              </w:rPr>
            </w:pPr>
            <w:r>
              <w:rPr>
                <w:color w:val="000000"/>
                <w:szCs w:val="21"/>
              </w:rPr>
              <w:t>广东时代互联科技有限公司</w:t>
            </w:r>
          </w:p>
        </w:tc>
      </w:tr>
      <w:tr w:rsidR="008810A2" w14:paraId="3E0FECB5" w14:textId="77777777" w:rsidTr="00407C9F">
        <w:trPr>
          <w:trHeight w:val="280"/>
        </w:trPr>
        <w:tc>
          <w:tcPr>
            <w:tcW w:w="4082" w:type="dxa"/>
            <w:tcBorders>
              <w:top w:val="nil"/>
              <w:left w:val="nil"/>
              <w:bottom w:val="nil"/>
              <w:right w:val="nil"/>
            </w:tcBorders>
            <w:shd w:val="clear" w:color="auto" w:fill="auto"/>
            <w:noWrap/>
            <w:vAlign w:val="center"/>
          </w:tcPr>
          <w:p w14:paraId="19DF5B0E" w14:textId="77777777" w:rsidR="008810A2" w:rsidRDefault="00D921E0">
            <w:pPr>
              <w:widowControl/>
              <w:spacing w:line="240" w:lineRule="auto"/>
              <w:ind w:firstLineChars="0" w:firstLine="0"/>
              <w:jc w:val="left"/>
              <w:rPr>
                <w:color w:val="000000"/>
                <w:kern w:val="0"/>
                <w:szCs w:val="21"/>
              </w:rPr>
            </w:pPr>
            <w:r>
              <w:rPr>
                <w:color w:val="000000"/>
                <w:szCs w:val="21"/>
              </w:rPr>
              <w:t>广州云讯信息科技有限公司</w:t>
            </w:r>
          </w:p>
        </w:tc>
        <w:tc>
          <w:tcPr>
            <w:tcW w:w="5780" w:type="dxa"/>
            <w:tcBorders>
              <w:top w:val="nil"/>
              <w:left w:val="nil"/>
              <w:bottom w:val="nil"/>
              <w:right w:val="nil"/>
            </w:tcBorders>
            <w:shd w:val="clear" w:color="auto" w:fill="auto"/>
            <w:noWrap/>
            <w:vAlign w:val="center"/>
          </w:tcPr>
          <w:p w14:paraId="28B4E05C" w14:textId="77777777" w:rsidR="008810A2" w:rsidRDefault="00D921E0">
            <w:pPr>
              <w:widowControl/>
              <w:spacing w:line="240" w:lineRule="auto"/>
              <w:ind w:firstLineChars="0" w:firstLine="0"/>
              <w:jc w:val="left"/>
              <w:rPr>
                <w:color w:val="000000"/>
                <w:kern w:val="0"/>
                <w:szCs w:val="21"/>
              </w:rPr>
            </w:pPr>
            <w:r>
              <w:rPr>
                <w:color w:val="000000"/>
                <w:szCs w:val="21"/>
              </w:rPr>
              <w:t>贵州</w:t>
            </w:r>
            <w:proofErr w:type="gramStart"/>
            <w:r>
              <w:rPr>
                <w:color w:val="000000"/>
                <w:szCs w:val="21"/>
              </w:rPr>
              <w:t>中域智科</w:t>
            </w:r>
            <w:proofErr w:type="gramEnd"/>
            <w:r>
              <w:rPr>
                <w:color w:val="000000"/>
                <w:szCs w:val="21"/>
              </w:rPr>
              <w:t>网络技术有限公司</w:t>
            </w:r>
          </w:p>
        </w:tc>
      </w:tr>
      <w:tr w:rsidR="008810A2" w14:paraId="028856E1" w14:textId="77777777" w:rsidTr="00407C9F">
        <w:trPr>
          <w:trHeight w:val="280"/>
        </w:trPr>
        <w:tc>
          <w:tcPr>
            <w:tcW w:w="4082" w:type="dxa"/>
            <w:tcBorders>
              <w:top w:val="nil"/>
              <w:left w:val="nil"/>
              <w:bottom w:val="nil"/>
              <w:right w:val="nil"/>
            </w:tcBorders>
            <w:shd w:val="clear" w:color="auto" w:fill="auto"/>
            <w:noWrap/>
            <w:vAlign w:val="center"/>
          </w:tcPr>
          <w:p w14:paraId="03F8B9F1" w14:textId="77777777" w:rsidR="008810A2" w:rsidRDefault="00D921E0">
            <w:pPr>
              <w:widowControl/>
              <w:spacing w:line="240" w:lineRule="auto"/>
              <w:ind w:firstLineChars="0" w:firstLine="0"/>
              <w:jc w:val="left"/>
              <w:rPr>
                <w:color w:val="000000"/>
                <w:kern w:val="0"/>
                <w:szCs w:val="21"/>
              </w:rPr>
            </w:pPr>
            <w:r>
              <w:rPr>
                <w:color w:val="000000"/>
                <w:szCs w:val="21"/>
              </w:rPr>
              <w:t>合肥聚名网络科技有限公司</w:t>
            </w:r>
          </w:p>
        </w:tc>
        <w:tc>
          <w:tcPr>
            <w:tcW w:w="5780" w:type="dxa"/>
            <w:tcBorders>
              <w:top w:val="nil"/>
              <w:left w:val="nil"/>
              <w:bottom w:val="nil"/>
              <w:right w:val="nil"/>
            </w:tcBorders>
            <w:shd w:val="clear" w:color="auto" w:fill="auto"/>
            <w:noWrap/>
            <w:vAlign w:val="center"/>
          </w:tcPr>
          <w:p w14:paraId="78021263" w14:textId="77777777" w:rsidR="008810A2" w:rsidRDefault="00D921E0">
            <w:pPr>
              <w:widowControl/>
              <w:spacing w:line="240" w:lineRule="auto"/>
              <w:ind w:firstLineChars="0" w:firstLine="0"/>
              <w:jc w:val="left"/>
              <w:rPr>
                <w:color w:val="000000"/>
                <w:kern w:val="0"/>
                <w:szCs w:val="21"/>
              </w:rPr>
            </w:pPr>
            <w:r>
              <w:rPr>
                <w:color w:val="000000"/>
                <w:szCs w:val="21"/>
              </w:rPr>
              <w:t>互联网域名系统北京市工程研究中心有限公司</w:t>
            </w:r>
          </w:p>
        </w:tc>
      </w:tr>
      <w:tr w:rsidR="008810A2" w14:paraId="0AB95C32" w14:textId="77777777" w:rsidTr="00407C9F">
        <w:trPr>
          <w:trHeight w:val="280"/>
        </w:trPr>
        <w:tc>
          <w:tcPr>
            <w:tcW w:w="4082" w:type="dxa"/>
            <w:tcBorders>
              <w:top w:val="nil"/>
              <w:left w:val="nil"/>
              <w:bottom w:val="nil"/>
              <w:right w:val="nil"/>
            </w:tcBorders>
            <w:shd w:val="clear" w:color="auto" w:fill="auto"/>
            <w:noWrap/>
            <w:vAlign w:val="center"/>
          </w:tcPr>
          <w:p w14:paraId="4379B368" w14:textId="77777777" w:rsidR="008810A2" w:rsidRDefault="00D921E0">
            <w:pPr>
              <w:widowControl/>
              <w:spacing w:line="240" w:lineRule="auto"/>
              <w:ind w:firstLineChars="0" w:firstLine="0"/>
              <w:jc w:val="left"/>
              <w:rPr>
                <w:color w:val="000000"/>
                <w:kern w:val="0"/>
                <w:szCs w:val="21"/>
              </w:rPr>
            </w:pPr>
            <w:r>
              <w:rPr>
                <w:color w:val="000000"/>
                <w:szCs w:val="21"/>
              </w:rPr>
              <w:t>环球</w:t>
            </w:r>
            <w:proofErr w:type="gramStart"/>
            <w:r>
              <w:rPr>
                <w:color w:val="000000"/>
                <w:szCs w:val="21"/>
              </w:rPr>
              <w:t>商域科技</w:t>
            </w:r>
            <w:proofErr w:type="gramEnd"/>
            <w:r>
              <w:rPr>
                <w:color w:val="000000"/>
                <w:szCs w:val="21"/>
              </w:rPr>
              <w:t>有限公司</w:t>
            </w:r>
          </w:p>
        </w:tc>
        <w:tc>
          <w:tcPr>
            <w:tcW w:w="5780" w:type="dxa"/>
            <w:tcBorders>
              <w:top w:val="nil"/>
              <w:left w:val="nil"/>
              <w:bottom w:val="nil"/>
              <w:right w:val="nil"/>
            </w:tcBorders>
            <w:shd w:val="clear" w:color="auto" w:fill="auto"/>
            <w:noWrap/>
            <w:vAlign w:val="center"/>
          </w:tcPr>
          <w:p w14:paraId="2EE46311" w14:textId="77777777" w:rsidR="008810A2" w:rsidRDefault="00D921E0">
            <w:pPr>
              <w:widowControl/>
              <w:spacing w:line="240" w:lineRule="auto"/>
              <w:ind w:firstLineChars="0" w:firstLine="0"/>
              <w:jc w:val="left"/>
              <w:rPr>
                <w:color w:val="000000"/>
                <w:kern w:val="0"/>
                <w:szCs w:val="21"/>
              </w:rPr>
            </w:pPr>
            <w:r>
              <w:rPr>
                <w:color w:val="000000"/>
                <w:szCs w:val="21"/>
              </w:rPr>
              <w:t>江苏邦宁科技有限公司</w:t>
            </w:r>
          </w:p>
        </w:tc>
      </w:tr>
      <w:tr w:rsidR="008810A2" w14:paraId="127BBA73" w14:textId="77777777" w:rsidTr="00407C9F">
        <w:trPr>
          <w:trHeight w:val="280"/>
        </w:trPr>
        <w:tc>
          <w:tcPr>
            <w:tcW w:w="4082" w:type="dxa"/>
            <w:tcBorders>
              <w:top w:val="nil"/>
              <w:left w:val="nil"/>
              <w:bottom w:val="nil"/>
              <w:right w:val="nil"/>
            </w:tcBorders>
            <w:shd w:val="clear" w:color="auto" w:fill="auto"/>
            <w:noWrap/>
            <w:vAlign w:val="center"/>
          </w:tcPr>
          <w:p w14:paraId="0412958D" w14:textId="77777777" w:rsidR="008810A2" w:rsidRDefault="00D921E0">
            <w:pPr>
              <w:widowControl/>
              <w:spacing w:line="240" w:lineRule="auto"/>
              <w:ind w:firstLineChars="0" w:firstLine="0"/>
              <w:jc w:val="left"/>
              <w:rPr>
                <w:color w:val="000000"/>
                <w:kern w:val="0"/>
                <w:szCs w:val="21"/>
              </w:rPr>
            </w:pPr>
            <w:proofErr w:type="gramStart"/>
            <w:r>
              <w:rPr>
                <w:color w:val="000000"/>
                <w:szCs w:val="21"/>
              </w:rPr>
              <w:t>琏升科技</w:t>
            </w:r>
            <w:proofErr w:type="gramEnd"/>
            <w:r>
              <w:rPr>
                <w:color w:val="000000"/>
                <w:szCs w:val="21"/>
              </w:rPr>
              <w:t>股份有限公司</w:t>
            </w:r>
          </w:p>
        </w:tc>
        <w:tc>
          <w:tcPr>
            <w:tcW w:w="5780" w:type="dxa"/>
            <w:tcBorders>
              <w:top w:val="nil"/>
              <w:left w:val="nil"/>
              <w:bottom w:val="nil"/>
              <w:right w:val="nil"/>
            </w:tcBorders>
            <w:shd w:val="clear" w:color="auto" w:fill="auto"/>
            <w:noWrap/>
            <w:vAlign w:val="center"/>
          </w:tcPr>
          <w:p w14:paraId="57FFFC37" w14:textId="77777777" w:rsidR="008810A2" w:rsidRDefault="00D921E0">
            <w:pPr>
              <w:widowControl/>
              <w:spacing w:line="240" w:lineRule="auto"/>
              <w:ind w:firstLineChars="0" w:firstLine="0"/>
              <w:jc w:val="left"/>
              <w:rPr>
                <w:color w:val="000000"/>
                <w:kern w:val="0"/>
                <w:szCs w:val="21"/>
              </w:rPr>
            </w:pPr>
            <w:r>
              <w:rPr>
                <w:color w:val="000000"/>
                <w:szCs w:val="21"/>
              </w:rPr>
              <w:t>码</w:t>
            </w:r>
            <w:proofErr w:type="gramStart"/>
            <w:r>
              <w:rPr>
                <w:color w:val="000000"/>
                <w:szCs w:val="21"/>
              </w:rPr>
              <w:t>恪御标信息</w:t>
            </w:r>
            <w:proofErr w:type="gramEnd"/>
            <w:r>
              <w:rPr>
                <w:color w:val="000000"/>
                <w:szCs w:val="21"/>
              </w:rPr>
              <w:t>科技（上海）有限公司</w:t>
            </w:r>
          </w:p>
        </w:tc>
      </w:tr>
      <w:tr w:rsidR="008810A2" w14:paraId="0CB01BF1" w14:textId="77777777" w:rsidTr="00407C9F">
        <w:trPr>
          <w:trHeight w:val="280"/>
        </w:trPr>
        <w:tc>
          <w:tcPr>
            <w:tcW w:w="4082" w:type="dxa"/>
            <w:tcBorders>
              <w:top w:val="nil"/>
              <w:left w:val="nil"/>
              <w:bottom w:val="nil"/>
              <w:right w:val="nil"/>
            </w:tcBorders>
            <w:shd w:val="clear" w:color="auto" w:fill="auto"/>
            <w:noWrap/>
            <w:vAlign w:val="center"/>
          </w:tcPr>
          <w:p w14:paraId="2FAC99E8" w14:textId="77777777" w:rsidR="008810A2" w:rsidRDefault="00D921E0">
            <w:pPr>
              <w:widowControl/>
              <w:spacing w:line="240" w:lineRule="auto"/>
              <w:ind w:firstLineChars="0" w:firstLine="0"/>
              <w:jc w:val="left"/>
              <w:rPr>
                <w:color w:val="000000"/>
                <w:kern w:val="0"/>
                <w:szCs w:val="21"/>
              </w:rPr>
            </w:pPr>
            <w:r>
              <w:rPr>
                <w:color w:val="000000"/>
                <w:szCs w:val="21"/>
              </w:rPr>
              <w:t>厦门点媒网络科技有限公司</w:t>
            </w:r>
          </w:p>
        </w:tc>
        <w:tc>
          <w:tcPr>
            <w:tcW w:w="5780" w:type="dxa"/>
            <w:tcBorders>
              <w:top w:val="nil"/>
              <w:left w:val="nil"/>
              <w:bottom w:val="nil"/>
              <w:right w:val="nil"/>
            </w:tcBorders>
            <w:shd w:val="clear" w:color="auto" w:fill="auto"/>
            <w:noWrap/>
            <w:vAlign w:val="center"/>
          </w:tcPr>
          <w:p w14:paraId="0B9921BE" w14:textId="77777777" w:rsidR="008810A2" w:rsidRDefault="00D921E0">
            <w:pPr>
              <w:widowControl/>
              <w:spacing w:line="240" w:lineRule="auto"/>
              <w:ind w:firstLineChars="0" w:firstLine="0"/>
              <w:jc w:val="left"/>
              <w:rPr>
                <w:color w:val="000000"/>
                <w:kern w:val="0"/>
                <w:szCs w:val="21"/>
              </w:rPr>
            </w:pPr>
            <w:r>
              <w:rPr>
                <w:color w:val="000000"/>
                <w:szCs w:val="21"/>
              </w:rPr>
              <w:t>厦门纳网科技股份有限公司</w:t>
            </w:r>
          </w:p>
        </w:tc>
      </w:tr>
      <w:tr w:rsidR="008810A2" w14:paraId="15955667" w14:textId="77777777" w:rsidTr="00407C9F">
        <w:trPr>
          <w:trHeight w:val="280"/>
        </w:trPr>
        <w:tc>
          <w:tcPr>
            <w:tcW w:w="4082" w:type="dxa"/>
            <w:tcBorders>
              <w:top w:val="nil"/>
              <w:left w:val="nil"/>
              <w:bottom w:val="nil"/>
              <w:right w:val="nil"/>
            </w:tcBorders>
            <w:shd w:val="clear" w:color="auto" w:fill="auto"/>
            <w:noWrap/>
            <w:vAlign w:val="center"/>
          </w:tcPr>
          <w:p w14:paraId="5B2C9C94" w14:textId="77777777" w:rsidR="008810A2" w:rsidRDefault="00D921E0">
            <w:pPr>
              <w:widowControl/>
              <w:spacing w:line="240" w:lineRule="auto"/>
              <w:ind w:firstLineChars="0" w:firstLine="0"/>
              <w:jc w:val="left"/>
              <w:rPr>
                <w:color w:val="000000"/>
                <w:kern w:val="0"/>
                <w:szCs w:val="21"/>
              </w:rPr>
            </w:pPr>
            <w:r>
              <w:rPr>
                <w:color w:val="000000"/>
                <w:szCs w:val="21"/>
              </w:rPr>
              <w:t>厦门三五互联信息有限公司</w:t>
            </w:r>
          </w:p>
        </w:tc>
        <w:tc>
          <w:tcPr>
            <w:tcW w:w="5780" w:type="dxa"/>
            <w:tcBorders>
              <w:top w:val="nil"/>
              <w:left w:val="nil"/>
              <w:bottom w:val="nil"/>
              <w:right w:val="nil"/>
            </w:tcBorders>
            <w:shd w:val="clear" w:color="auto" w:fill="auto"/>
            <w:noWrap/>
            <w:vAlign w:val="center"/>
          </w:tcPr>
          <w:p w14:paraId="597FC42A" w14:textId="77777777" w:rsidR="008810A2" w:rsidRDefault="00D921E0">
            <w:pPr>
              <w:widowControl/>
              <w:spacing w:line="240" w:lineRule="auto"/>
              <w:ind w:firstLineChars="0" w:firstLine="0"/>
              <w:jc w:val="left"/>
              <w:rPr>
                <w:color w:val="000000"/>
                <w:kern w:val="0"/>
                <w:szCs w:val="21"/>
              </w:rPr>
            </w:pPr>
            <w:r>
              <w:rPr>
                <w:color w:val="000000"/>
                <w:szCs w:val="21"/>
              </w:rPr>
              <w:t>厦门市中资源网络服务有限公司</w:t>
            </w:r>
          </w:p>
        </w:tc>
      </w:tr>
      <w:tr w:rsidR="008810A2" w14:paraId="149339CB" w14:textId="77777777" w:rsidTr="00407C9F">
        <w:trPr>
          <w:trHeight w:val="280"/>
        </w:trPr>
        <w:tc>
          <w:tcPr>
            <w:tcW w:w="4082" w:type="dxa"/>
            <w:tcBorders>
              <w:top w:val="nil"/>
              <w:left w:val="nil"/>
              <w:bottom w:val="nil"/>
              <w:right w:val="nil"/>
            </w:tcBorders>
            <w:shd w:val="clear" w:color="auto" w:fill="auto"/>
            <w:noWrap/>
            <w:vAlign w:val="center"/>
          </w:tcPr>
          <w:p w14:paraId="1D206A69" w14:textId="77777777" w:rsidR="008810A2" w:rsidRDefault="00D921E0">
            <w:pPr>
              <w:widowControl/>
              <w:spacing w:line="240" w:lineRule="auto"/>
              <w:ind w:firstLineChars="0" w:firstLine="0"/>
              <w:jc w:val="left"/>
              <w:rPr>
                <w:color w:val="000000"/>
                <w:kern w:val="0"/>
                <w:szCs w:val="21"/>
              </w:rPr>
            </w:pPr>
            <w:r>
              <w:rPr>
                <w:color w:val="000000"/>
                <w:szCs w:val="21"/>
              </w:rPr>
              <w:t>厦门易名科技股份有限公司</w:t>
            </w:r>
          </w:p>
        </w:tc>
        <w:tc>
          <w:tcPr>
            <w:tcW w:w="5780" w:type="dxa"/>
            <w:tcBorders>
              <w:top w:val="nil"/>
              <w:left w:val="nil"/>
              <w:bottom w:val="nil"/>
              <w:right w:val="nil"/>
            </w:tcBorders>
            <w:shd w:val="clear" w:color="auto" w:fill="auto"/>
            <w:noWrap/>
            <w:vAlign w:val="center"/>
          </w:tcPr>
          <w:p w14:paraId="7F9F126F" w14:textId="77777777" w:rsidR="008810A2" w:rsidRDefault="00D921E0">
            <w:pPr>
              <w:widowControl/>
              <w:spacing w:line="240" w:lineRule="auto"/>
              <w:ind w:firstLineChars="0" w:firstLine="0"/>
              <w:jc w:val="left"/>
              <w:rPr>
                <w:color w:val="000000"/>
                <w:kern w:val="0"/>
                <w:szCs w:val="21"/>
              </w:rPr>
            </w:pPr>
            <w:r>
              <w:rPr>
                <w:color w:val="000000"/>
                <w:szCs w:val="21"/>
              </w:rPr>
              <w:t>商中在线科技股份有限公司</w:t>
            </w:r>
          </w:p>
        </w:tc>
      </w:tr>
      <w:tr w:rsidR="008810A2" w14:paraId="06DF0648" w14:textId="77777777" w:rsidTr="00407C9F">
        <w:trPr>
          <w:trHeight w:val="280"/>
        </w:trPr>
        <w:tc>
          <w:tcPr>
            <w:tcW w:w="4082" w:type="dxa"/>
            <w:tcBorders>
              <w:top w:val="nil"/>
              <w:left w:val="nil"/>
              <w:bottom w:val="nil"/>
              <w:right w:val="nil"/>
            </w:tcBorders>
            <w:shd w:val="clear" w:color="auto" w:fill="auto"/>
            <w:noWrap/>
            <w:vAlign w:val="center"/>
          </w:tcPr>
          <w:p w14:paraId="6F1CD1D2" w14:textId="77777777" w:rsidR="008810A2" w:rsidRDefault="00D921E0">
            <w:pPr>
              <w:widowControl/>
              <w:spacing w:line="240" w:lineRule="auto"/>
              <w:ind w:firstLineChars="0" w:firstLine="0"/>
              <w:jc w:val="left"/>
              <w:rPr>
                <w:color w:val="000000"/>
                <w:kern w:val="0"/>
                <w:szCs w:val="21"/>
              </w:rPr>
            </w:pPr>
            <w:r>
              <w:rPr>
                <w:color w:val="000000"/>
                <w:szCs w:val="21"/>
              </w:rPr>
              <w:t>上海贝锐信息科技股份有限公司</w:t>
            </w:r>
          </w:p>
        </w:tc>
        <w:tc>
          <w:tcPr>
            <w:tcW w:w="5780" w:type="dxa"/>
            <w:tcBorders>
              <w:top w:val="nil"/>
              <w:left w:val="nil"/>
              <w:bottom w:val="nil"/>
              <w:right w:val="nil"/>
            </w:tcBorders>
            <w:shd w:val="clear" w:color="auto" w:fill="auto"/>
            <w:noWrap/>
            <w:vAlign w:val="center"/>
          </w:tcPr>
          <w:p w14:paraId="3FAA6485" w14:textId="77777777" w:rsidR="008810A2" w:rsidRDefault="00D921E0">
            <w:pPr>
              <w:widowControl/>
              <w:spacing w:line="240" w:lineRule="auto"/>
              <w:ind w:firstLineChars="0" w:firstLine="0"/>
              <w:jc w:val="left"/>
              <w:rPr>
                <w:color w:val="000000"/>
                <w:kern w:val="0"/>
                <w:szCs w:val="21"/>
              </w:rPr>
            </w:pPr>
            <w:r>
              <w:rPr>
                <w:color w:val="000000"/>
                <w:szCs w:val="21"/>
              </w:rPr>
              <w:t>上海美橙科技信息发展有限公司</w:t>
            </w:r>
          </w:p>
        </w:tc>
      </w:tr>
      <w:tr w:rsidR="008810A2" w14:paraId="18748D2D" w14:textId="77777777" w:rsidTr="00407C9F">
        <w:trPr>
          <w:trHeight w:val="280"/>
        </w:trPr>
        <w:tc>
          <w:tcPr>
            <w:tcW w:w="4082" w:type="dxa"/>
            <w:tcBorders>
              <w:top w:val="nil"/>
              <w:left w:val="nil"/>
              <w:bottom w:val="nil"/>
              <w:right w:val="nil"/>
            </w:tcBorders>
            <w:shd w:val="clear" w:color="auto" w:fill="auto"/>
            <w:noWrap/>
            <w:vAlign w:val="center"/>
          </w:tcPr>
          <w:p w14:paraId="3500A1F8" w14:textId="77777777" w:rsidR="008810A2" w:rsidRDefault="00D921E0">
            <w:pPr>
              <w:widowControl/>
              <w:spacing w:line="240" w:lineRule="auto"/>
              <w:ind w:firstLineChars="0" w:firstLine="0"/>
              <w:jc w:val="left"/>
              <w:rPr>
                <w:color w:val="000000"/>
                <w:kern w:val="0"/>
                <w:szCs w:val="21"/>
              </w:rPr>
            </w:pPr>
            <w:r>
              <w:rPr>
                <w:color w:val="000000"/>
                <w:szCs w:val="21"/>
              </w:rPr>
              <w:t>上海有</w:t>
            </w:r>
            <w:proofErr w:type="gramStart"/>
            <w:r>
              <w:rPr>
                <w:color w:val="000000"/>
                <w:szCs w:val="21"/>
              </w:rPr>
              <w:t>孚网络</w:t>
            </w:r>
            <w:proofErr w:type="gramEnd"/>
            <w:r>
              <w:rPr>
                <w:color w:val="000000"/>
                <w:szCs w:val="21"/>
              </w:rPr>
              <w:t>股份有限公司</w:t>
            </w:r>
          </w:p>
        </w:tc>
        <w:tc>
          <w:tcPr>
            <w:tcW w:w="5780" w:type="dxa"/>
            <w:tcBorders>
              <w:top w:val="nil"/>
              <w:left w:val="nil"/>
              <w:bottom w:val="nil"/>
              <w:right w:val="nil"/>
            </w:tcBorders>
            <w:shd w:val="clear" w:color="auto" w:fill="auto"/>
            <w:noWrap/>
            <w:vAlign w:val="center"/>
          </w:tcPr>
          <w:p w14:paraId="74526834" w14:textId="77777777" w:rsidR="008810A2" w:rsidRDefault="00D921E0">
            <w:pPr>
              <w:widowControl/>
              <w:spacing w:line="240" w:lineRule="auto"/>
              <w:ind w:firstLineChars="0" w:firstLine="0"/>
              <w:jc w:val="left"/>
              <w:rPr>
                <w:color w:val="000000"/>
                <w:kern w:val="0"/>
                <w:szCs w:val="21"/>
              </w:rPr>
            </w:pPr>
            <w:r>
              <w:rPr>
                <w:color w:val="000000"/>
                <w:szCs w:val="21"/>
              </w:rPr>
              <w:t>深圳互联先锋科技有限公司</w:t>
            </w:r>
          </w:p>
        </w:tc>
      </w:tr>
      <w:tr w:rsidR="008810A2" w14:paraId="3B9A1B0D" w14:textId="77777777" w:rsidTr="00407C9F">
        <w:trPr>
          <w:trHeight w:val="280"/>
        </w:trPr>
        <w:tc>
          <w:tcPr>
            <w:tcW w:w="4082" w:type="dxa"/>
            <w:tcBorders>
              <w:top w:val="nil"/>
              <w:left w:val="nil"/>
              <w:bottom w:val="nil"/>
              <w:right w:val="nil"/>
            </w:tcBorders>
            <w:shd w:val="clear" w:color="auto" w:fill="auto"/>
            <w:noWrap/>
            <w:vAlign w:val="center"/>
          </w:tcPr>
          <w:p w14:paraId="4A58BB9B" w14:textId="77777777" w:rsidR="008810A2" w:rsidRDefault="00D921E0">
            <w:pPr>
              <w:widowControl/>
              <w:spacing w:line="240" w:lineRule="auto"/>
              <w:ind w:firstLineChars="0" w:firstLine="0"/>
              <w:jc w:val="left"/>
              <w:rPr>
                <w:color w:val="000000"/>
                <w:kern w:val="0"/>
                <w:szCs w:val="21"/>
              </w:rPr>
            </w:pPr>
            <w:r>
              <w:rPr>
                <w:color w:val="000000"/>
                <w:szCs w:val="21"/>
              </w:rPr>
              <w:lastRenderedPageBreak/>
              <w:t>深圳市万维网信息技术有限公司</w:t>
            </w:r>
          </w:p>
        </w:tc>
        <w:tc>
          <w:tcPr>
            <w:tcW w:w="5780" w:type="dxa"/>
            <w:tcBorders>
              <w:top w:val="nil"/>
              <w:left w:val="nil"/>
              <w:bottom w:val="nil"/>
              <w:right w:val="nil"/>
            </w:tcBorders>
            <w:shd w:val="clear" w:color="auto" w:fill="auto"/>
            <w:noWrap/>
            <w:vAlign w:val="center"/>
          </w:tcPr>
          <w:p w14:paraId="4922155B" w14:textId="77777777" w:rsidR="008810A2" w:rsidRDefault="00D921E0">
            <w:pPr>
              <w:widowControl/>
              <w:spacing w:line="240" w:lineRule="auto"/>
              <w:ind w:firstLineChars="0" w:firstLine="0"/>
              <w:jc w:val="left"/>
              <w:rPr>
                <w:color w:val="000000"/>
                <w:kern w:val="0"/>
                <w:szCs w:val="21"/>
              </w:rPr>
            </w:pPr>
            <w:r>
              <w:rPr>
                <w:color w:val="000000"/>
                <w:szCs w:val="21"/>
              </w:rPr>
              <w:t>深圳英迈思信息技术有限公司</w:t>
            </w:r>
          </w:p>
        </w:tc>
      </w:tr>
      <w:tr w:rsidR="008810A2" w14:paraId="56C99963" w14:textId="77777777" w:rsidTr="00407C9F">
        <w:trPr>
          <w:trHeight w:val="280"/>
        </w:trPr>
        <w:tc>
          <w:tcPr>
            <w:tcW w:w="4082" w:type="dxa"/>
            <w:tcBorders>
              <w:top w:val="nil"/>
              <w:left w:val="nil"/>
              <w:bottom w:val="nil"/>
              <w:right w:val="nil"/>
            </w:tcBorders>
            <w:shd w:val="clear" w:color="auto" w:fill="auto"/>
            <w:noWrap/>
            <w:vAlign w:val="center"/>
          </w:tcPr>
          <w:p w14:paraId="220C9725" w14:textId="77777777" w:rsidR="008810A2" w:rsidRDefault="00D921E0">
            <w:pPr>
              <w:widowControl/>
              <w:spacing w:line="240" w:lineRule="auto"/>
              <w:ind w:firstLineChars="0" w:firstLine="0"/>
              <w:jc w:val="left"/>
              <w:rPr>
                <w:color w:val="000000"/>
                <w:kern w:val="0"/>
                <w:szCs w:val="21"/>
              </w:rPr>
            </w:pPr>
            <w:r>
              <w:rPr>
                <w:color w:val="000000"/>
                <w:szCs w:val="21"/>
              </w:rPr>
              <w:t>四川域趣网络科技有限公司</w:t>
            </w:r>
          </w:p>
        </w:tc>
        <w:tc>
          <w:tcPr>
            <w:tcW w:w="5780" w:type="dxa"/>
            <w:tcBorders>
              <w:top w:val="nil"/>
              <w:left w:val="nil"/>
              <w:bottom w:val="nil"/>
              <w:right w:val="nil"/>
            </w:tcBorders>
            <w:shd w:val="clear" w:color="auto" w:fill="auto"/>
            <w:noWrap/>
            <w:vAlign w:val="center"/>
          </w:tcPr>
          <w:p w14:paraId="580F1C9D" w14:textId="77777777" w:rsidR="008810A2" w:rsidRDefault="00D921E0">
            <w:pPr>
              <w:widowControl/>
              <w:spacing w:line="240" w:lineRule="auto"/>
              <w:ind w:firstLineChars="0" w:firstLine="0"/>
              <w:jc w:val="left"/>
              <w:rPr>
                <w:color w:val="000000"/>
                <w:kern w:val="0"/>
                <w:szCs w:val="21"/>
              </w:rPr>
            </w:pPr>
            <w:r>
              <w:rPr>
                <w:color w:val="000000"/>
                <w:szCs w:val="21"/>
              </w:rPr>
              <w:t>天津追日科技发展股份有限公司</w:t>
            </w:r>
          </w:p>
        </w:tc>
      </w:tr>
      <w:tr w:rsidR="008810A2" w14:paraId="41944DD6" w14:textId="77777777" w:rsidTr="00407C9F">
        <w:trPr>
          <w:trHeight w:val="280"/>
        </w:trPr>
        <w:tc>
          <w:tcPr>
            <w:tcW w:w="4082" w:type="dxa"/>
            <w:tcBorders>
              <w:top w:val="nil"/>
              <w:left w:val="nil"/>
              <w:bottom w:val="nil"/>
              <w:right w:val="nil"/>
            </w:tcBorders>
            <w:shd w:val="clear" w:color="auto" w:fill="auto"/>
            <w:noWrap/>
            <w:vAlign w:val="center"/>
          </w:tcPr>
          <w:p w14:paraId="0F0E4974" w14:textId="77777777" w:rsidR="008810A2" w:rsidRDefault="00D921E0">
            <w:pPr>
              <w:widowControl/>
              <w:spacing w:line="240" w:lineRule="auto"/>
              <w:ind w:firstLineChars="0" w:firstLine="0"/>
              <w:jc w:val="left"/>
              <w:rPr>
                <w:color w:val="000000"/>
                <w:kern w:val="0"/>
                <w:szCs w:val="21"/>
              </w:rPr>
            </w:pPr>
            <w:r>
              <w:rPr>
                <w:color w:val="000000"/>
                <w:szCs w:val="21"/>
              </w:rPr>
              <w:t>万商云集（成都）科技股份有限公司</w:t>
            </w:r>
          </w:p>
        </w:tc>
        <w:tc>
          <w:tcPr>
            <w:tcW w:w="5780" w:type="dxa"/>
            <w:tcBorders>
              <w:top w:val="nil"/>
              <w:left w:val="nil"/>
              <w:bottom w:val="nil"/>
              <w:right w:val="nil"/>
            </w:tcBorders>
            <w:shd w:val="clear" w:color="auto" w:fill="auto"/>
            <w:noWrap/>
            <w:vAlign w:val="center"/>
          </w:tcPr>
          <w:p w14:paraId="32249C7E" w14:textId="77777777" w:rsidR="008810A2" w:rsidRDefault="00D921E0">
            <w:pPr>
              <w:widowControl/>
              <w:spacing w:line="240" w:lineRule="auto"/>
              <w:ind w:firstLineChars="0" w:firstLine="0"/>
              <w:jc w:val="left"/>
              <w:rPr>
                <w:color w:val="000000"/>
                <w:kern w:val="0"/>
                <w:szCs w:val="21"/>
              </w:rPr>
            </w:pPr>
            <w:proofErr w:type="gramStart"/>
            <w:r>
              <w:rPr>
                <w:color w:val="000000"/>
                <w:szCs w:val="21"/>
              </w:rPr>
              <w:t>网聚品牌</w:t>
            </w:r>
            <w:proofErr w:type="gramEnd"/>
            <w:r>
              <w:rPr>
                <w:color w:val="000000"/>
                <w:szCs w:val="21"/>
              </w:rPr>
              <w:t>管理有限公司</w:t>
            </w:r>
          </w:p>
        </w:tc>
      </w:tr>
      <w:tr w:rsidR="008810A2" w14:paraId="62E123FD" w14:textId="77777777" w:rsidTr="00407C9F">
        <w:trPr>
          <w:trHeight w:val="280"/>
        </w:trPr>
        <w:tc>
          <w:tcPr>
            <w:tcW w:w="4082" w:type="dxa"/>
            <w:tcBorders>
              <w:top w:val="nil"/>
              <w:left w:val="nil"/>
              <w:bottom w:val="nil"/>
              <w:right w:val="nil"/>
            </w:tcBorders>
            <w:shd w:val="clear" w:color="auto" w:fill="auto"/>
            <w:noWrap/>
            <w:vAlign w:val="center"/>
          </w:tcPr>
          <w:p w14:paraId="717AF031" w14:textId="77777777" w:rsidR="008810A2" w:rsidRDefault="00D921E0">
            <w:pPr>
              <w:widowControl/>
              <w:spacing w:line="240" w:lineRule="auto"/>
              <w:ind w:firstLineChars="0" w:firstLine="0"/>
              <w:jc w:val="left"/>
              <w:rPr>
                <w:color w:val="000000"/>
                <w:kern w:val="0"/>
                <w:szCs w:val="21"/>
              </w:rPr>
            </w:pPr>
            <w:r>
              <w:rPr>
                <w:color w:val="000000"/>
                <w:szCs w:val="21"/>
              </w:rPr>
              <w:t>西安千喜网络科技有限公司</w:t>
            </w:r>
          </w:p>
        </w:tc>
        <w:tc>
          <w:tcPr>
            <w:tcW w:w="5780" w:type="dxa"/>
            <w:tcBorders>
              <w:top w:val="nil"/>
              <w:left w:val="nil"/>
              <w:bottom w:val="nil"/>
              <w:right w:val="nil"/>
            </w:tcBorders>
            <w:shd w:val="clear" w:color="auto" w:fill="auto"/>
            <w:noWrap/>
            <w:vAlign w:val="center"/>
          </w:tcPr>
          <w:p w14:paraId="145D85C2" w14:textId="77777777" w:rsidR="008810A2" w:rsidRDefault="00D921E0">
            <w:pPr>
              <w:widowControl/>
              <w:spacing w:line="240" w:lineRule="auto"/>
              <w:ind w:firstLineChars="0" w:firstLine="0"/>
              <w:jc w:val="left"/>
              <w:rPr>
                <w:color w:val="000000"/>
                <w:kern w:val="0"/>
                <w:szCs w:val="21"/>
              </w:rPr>
            </w:pPr>
            <w:r>
              <w:rPr>
                <w:color w:val="000000"/>
                <w:szCs w:val="21"/>
              </w:rPr>
              <w:t>烟台</w:t>
            </w:r>
            <w:proofErr w:type="gramStart"/>
            <w:r>
              <w:rPr>
                <w:color w:val="000000"/>
                <w:szCs w:val="21"/>
              </w:rPr>
              <w:t>帝思普网络</w:t>
            </w:r>
            <w:proofErr w:type="gramEnd"/>
            <w:r>
              <w:rPr>
                <w:color w:val="000000"/>
                <w:szCs w:val="21"/>
              </w:rPr>
              <w:t>科技有限公司</w:t>
            </w:r>
          </w:p>
        </w:tc>
      </w:tr>
      <w:tr w:rsidR="008810A2" w14:paraId="377BD1B9" w14:textId="77777777" w:rsidTr="00407C9F">
        <w:trPr>
          <w:trHeight w:val="280"/>
        </w:trPr>
        <w:tc>
          <w:tcPr>
            <w:tcW w:w="4082" w:type="dxa"/>
            <w:tcBorders>
              <w:top w:val="nil"/>
              <w:left w:val="nil"/>
              <w:bottom w:val="nil"/>
              <w:right w:val="nil"/>
            </w:tcBorders>
            <w:shd w:val="clear" w:color="auto" w:fill="auto"/>
            <w:noWrap/>
            <w:vAlign w:val="center"/>
          </w:tcPr>
          <w:p w14:paraId="722E89CF" w14:textId="77777777" w:rsidR="008810A2" w:rsidRDefault="00D921E0">
            <w:pPr>
              <w:widowControl/>
              <w:spacing w:line="240" w:lineRule="auto"/>
              <w:ind w:firstLineChars="0" w:firstLine="0"/>
              <w:jc w:val="left"/>
              <w:rPr>
                <w:color w:val="000000"/>
                <w:kern w:val="0"/>
                <w:szCs w:val="21"/>
              </w:rPr>
            </w:pPr>
            <w:r>
              <w:rPr>
                <w:color w:val="000000"/>
                <w:szCs w:val="21"/>
              </w:rPr>
              <w:t>云南蓝队云计算有限公司</w:t>
            </w:r>
          </w:p>
        </w:tc>
        <w:tc>
          <w:tcPr>
            <w:tcW w:w="5780" w:type="dxa"/>
            <w:tcBorders>
              <w:top w:val="nil"/>
              <w:left w:val="nil"/>
              <w:bottom w:val="nil"/>
              <w:right w:val="nil"/>
            </w:tcBorders>
            <w:shd w:val="clear" w:color="auto" w:fill="auto"/>
            <w:noWrap/>
            <w:vAlign w:val="center"/>
          </w:tcPr>
          <w:p w14:paraId="7E69AF6D" w14:textId="77777777" w:rsidR="008810A2" w:rsidRDefault="00D921E0">
            <w:pPr>
              <w:widowControl/>
              <w:spacing w:line="240" w:lineRule="auto"/>
              <w:ind w:firstLineChars="0" w:firstLine="0"/>
              <w:jc w:val="left"/>
              <w:rPr>
                <w:color w:val="000000"/>
                <w:kern w:val="0"/>
                <w:szCs w:val="21"/>
              </w:rPr>
            </w:pPr>
            <w:r>
              <w:rPr>
                <w:color w:val="000000"/>
                <w:szCs w:val="21"/>
              </w:rPr>
              <w:t>浙江贰贰网络有限公司</w:t>
            </w:r>
          </w:p>
        </w:tc>
      </w:tr>
      <w:tr w:rsidR="008810A2" w14:paraId="2CE5DB0B" w14:textId="77777777" w:rsidTr="00407C9F">
        <w:trPr>
          <w:trHeight w:val="280"/>
        </w:trPr>
        <w:tc>
          <w:tcPr>
            <w:tcW w:w="4082" w:type="dxa"/>
            <w:tcBorders>
              <w:top w:val="nil"/>
              <w:left w:val="nil"/>
              <w:bottom w:val="nil"/>
              <w:right w:val="nil"/>
            </w:tcBorders>
            <w:shd w:val="clear" w:color="auto" w:fill="auto"/>
            <w:noWrap/>
            <w:vAlign w:val="center"/>
          </w:tcPr>
          <w:p w14:paraId="24297A0E" w14:textId="77777777" w:rsidR="008810A2" w:rsidRDefault="00D921E0">
            <w:pPr>
              <w:widowControl/>
              <w:spacing w:line="240" w:lineRule="auto"/>
              <w:ind w:firstLineChars="0" w:firstLine="0"/>
              <w:jc w:val="left"/>
              <w:rPr>
                <w:color w:val="000000"/>
                <w:kern w:val="0"/>
                <w:szCs w:val="21"/>
              </w:rPr>
            </w:pPr>
            <w:r>
              <w:rPr>
                <w:color w:val="000000"/>
                <w:szCs w:val="21"/>
              </w:rPr>
              <w:t>郑州商旅科技有限公司</w:t>
            </w:r>
          </w:p>
        </w:tc>
        <w:tc>
          <w:tcPr>
            <w:tcW w:w="5780" w:type="dxa"/>
            <w:tcBorders>
              <w:top w:val="nil"/>
              <w:left w:val="nil"/>
              <w:bottom w:val="nil"/>
              <w:right w:val="nil"/>
            </w:tcBorders>
            <w:shd w:val="clear" w:color="auto" w:fill="auto"/>
            <w:noWrap/>
            <w:vAlign w:val="center"/>
          </w:tcPr>
          <w:p w14:paraId="663C2860" w14:textId="77777777" w:rsidR="008810A2" w:rsidRDefault="00D921E0">
            <w:pPr>
              <w:widowControl/>
              <w:spacing w:line="240" w:lineRule="auto"/>
              <w:ind w:firstLineChars="0" w:firstLine="0"/>
              <w:jc w:val="left"/>
              <w:rPr>
                <w:color w:val="000000"/>
                <w:kern w:val="0"/>
                <w:szCs w:val="21"/>
              </w:rPr>
            </w:pPr>
            <w:r>
              <w:rPr>
                <w:color w:val="000000"/>
                <w:szCs w:val="21"/>
              </w:rPr>
              <w:t>郑州世纪创联电子科技开发有限公司</w:t>
            </w:r>
          </w:p>
        </w:tc>
      </w:tr>
      <w:tr w:rsidR="008810A2" w14:paraId="46036799" w14:textId="77777777" w:rsidTr="00407C9F">
        <w:trPr>
          <w:trHeight w:val="280"/>
        </w:trPr>
        <w:tc>
          <w:tcPr>
            <w:tcW w:w="4082" w:type="dxa"/>
            <w:tcBorders>
              <w:top w:val="nil"/>
              <w:left w:val="nil"/>
              <w:bottom w:val="nil"/>
              <w:right w:val="nil"/>
            </w:tcBorders>
            <w:shd w:val="clear" w:color="auto" w:fill="auto"/>
            <w:noWrap/>
            <w:vAlign w:val="center"/>
          </w:tcPr>
          <w:p w14:paraId="09110B9E" w14:textId="77777777" w:rsidR="008810A2" w:rsidRDefault="00D921E0">
            <w:pPr>
              <w:widowControl/>
              <w:spacing w:line="240" w:lineRule="auto"/>
              <w:ind w:firstLineChars="0" w:firstLine="0"/>
              <w:jc w:val="left"/>
              <w:rPr>
                <w:color w:val="000000"/>
                <w:kern w:val="0"/>
                <w:szCs w:val="21"/>
              </w:rPr>
            </w:pPr>
            <w:r>
              <w:rPr>
                <w:color w:val="000000"/>
                <w:szCs w:val="21"/>
              </w:rPr>
              <w:t>中企动力科技股份有限公司</w:t>
            </w:r>
          </w:p>
        </w:tc>
        <w:tc>
          <w:tcPr>
            <w:tcW w:w="5780" w:type="dxa"/>
            <w:tcBorders>
              <w:top w:val="nil"/>
              <w:left w:val="nil"/>
              <w:bottom w:val="nil"/>
              <w:right w:val="nil"/>
            </w:tcBorders>
            <w:shd w:val="clear" w:color="auto" w:fill="auto"/>
            <w:noWrap/>
            <w:vAlign w:val="center"/>
          </w:tcPr>
          <w:p w14:paraId="6DF75EF9" w14:textId="77777777" w:rsidR="008810A2" w:rsidRDefault="00D921E0">
            <w:pPr>
              <w:widowControl/>
              <w:spacing w:line="240" w:lineRule="auto"/>
              <w:ind w:firstLineChars="0" w:firstLine="0"/>
              <w:jc w:val="left"/>
              <w:rPr>
                <w:color w:val="000000"/>
                <w:kern w:val="0"/>
                <w:szCs w:val="21"/>
              </w:rPr>
            </w:pPr>
            <w:proofErr w:type="gramStart"/>
            <w:r>
              <w:rPr>
                <w:color w:val="000000"/>
                <w:szCs w:val="21"/>
              </w:rPr>
              <w:t>中网瑞吉</w:t>
            </w:r>
            <w:proofErr w:type="gramEnd"/>
            <w:r>
              <w:rPr>
                <w:color w:val="000000"/>
                <w:szCs w:val="21"/>
              </w:rPr>
              <w:t>思（天津）科技有限公司</w:t>
            </w:r>
          </w:p>
        </w:tc>
      </w:tr>
    </w:tbl>
    <w:p w14:paraId="0BAA3D37" w14:textId="77777777" w:rsidR="008810A2" w:rsidRDefault="008810A2">
      <w:pPr>
        <w:ind w:firstLine="420"/>
        <w:rPr>
          <w:color w:val="000000" w:themeColor="text1"/>
        </w:rPr>
      </w:pPr>
    </w:p>
    <w:p w14:paraId="1CFB1849" w14:textId="77777777" w:rsidR="008810A2" w:rsidRDefault="00D921E0">
      <w:pPr>
        <w:spacing w:beforeLines="50" w:before="156"/>
        <w:ind w:firstLineChars="202" w:firstLine="424"/>
        <w:rPr>
          <w:color w:val="000000" w:themeColor="text1"/>
        </w:rPr>
      </w:pPr>
      <w:r>
        <w:rPr>
          <w:rFonts w:hint="eastAsia"/>
          <w:color w:val="000000" w:themeColor="text1"/>
        </w:rPr>
        <w:t>报告在编写和修订过程中还得到了其他单位的大力支持，在此不一一列举，我们</w:t>
      </w:r>
      <w:proofErr w:type="gramStart"/>
      <w:r>
        <w:rPr>
          <w:rFonts w:hint="eastAsia"/>
          <w:color w:val="000000" w:themeColor="text1"/>
        </w:rPr>
        <w:t>一</w:t>
      </w:r>
      <w:proofErr w:type="gramEnd"/>
      <w:r>
        <w:rPr>
          <w:rFonts w:hint="eastAsia"/>
          <w:color w:val="000000" w:themeColor="text1"/>
        </w:rPr>
        <w:t>并表示感谢</w:t>
      </w:r>
      <w:r>
        <w:rPr>
          <w:color w:val="000000" w:themeColor="text1"/>
        </w:rPr>
        <w:t>！</w:t>
      </w:r>
    </w:p>
    <w:p w14:paraId="67DF6FED" w14:textId="77777777" w:rsidR="008810A2" w:rsidRDefault="008810A2">
      <w:pPr>
        <w:spacing w:beforeLines="50" w:before="156"/>
        <w:ind w:firstLineChars="202" w:firstLine="1055"/>
        <w:rPr>
          <w:rFonts w:eastAsia="仿宋_GB2312"/>
          <w:b/>
          <w:color w:val="000000" w:themeColor="text1"/>
          <w:kern w:val="44"/>
          <w:sz w:val="52"/>
          <w:szCs w:val="52"/>
        </w:rPr>
        <w:sectPr w:rsidR="008810A2">
          <w:headerReference w:type="even" r:id="rId77"/>
          <w:headerReference w:type="default" r:id="rId78"/>
          <w:headerReference w:type="first" r:id="rId79"/>
          <w:footerReference w:type="first" r:id="rId80"/>
          <w:pgSz w:w="11906" w:h="16838"/>
          <w:pgMar w:top="1440" w:right="1843" w:bottom="1440" w:left="1797" w:header="851" w:footer="992" w:gutter="0"/>
          <w:cols w:space="425"/>
          <w:docGrid w:type="lines" w:linePitch="312"/>
        </w:sectPr>
      </w:pPr>
    </w:p>
    <w:p w14:paraId="01D5B4E9" w14:textId="77777777" w:rsidR="008810A2" w:rsidRDefault="00D921E0">
      <w:pPr>
        <w:spacing w:line="312" w:lineRule="auto"/>
        <w:ind w:firstLineChars="0" w:firstLine="0"/>
        <w:rPr>
          <w:b/>
          <w:bCs/>
          <w:color w:val="000000" w:themeColor="text1"/>
          <w:kern w:val="0"/>
          <w:sz w:val="28"/>
          <w:szCs w:val="20"/>
          <w:lang w:val="zh-CN"/>
        </w:rPr>
      </w:pPr>
      <w:bookmarkStart w:id="359" w:name="_Toc77571"/>
      <w:bookmarkStart w:id="360" w:name="_Toc536863988"/>
      <w:bookmarkStart w:id="361" w:name="_Toc18151"/>
      <w:r>
        <w:rPr>
          <w:b/>
          <w:bCs/>
          <w:color w:val="000000" w:themeColor="text1"/>
          <w:kern w:val="0"/>
          <w:sz w:val="28"/>
          <w:szCs w:val="20"/>
          <w:lang w:val="zh-CN"/>
        </w:rPr>
        <w:lastRenderedPageBreak/>
        <w:t>本报告版权归中国互联网络信息中心（</w:t>
      </w:r>
      <w:r>
        <w:rPr>
          <w:b/>
          <w:bCs/>
          <w:color w:val="000000" w:themeColor="text1"/>
          <w:kern w:val="0"/>
          <w:sz w:val="28"/>
          <w:szCs w:val="20"/>
          <w:lang w:val="zh-CN"/>
        </w:rPr>
        <w:t>CNNIC</w:t>
      </w:r>
      <w:r>
        <w:rPr>
          <w:b/>
          <w:bCs/>
          <w:color w:val="000000" w:themeColor="text1"/>
          <w:kern w:val="0"/>
          <w:sz w:val="28"/>
          <w:szCs w:val="20"/>
          <w:lang w:val="zh-CN"/>
        </w:rPr>
        <w:t>）所有。</w:t>
      </w:r>
      <w:bookmarkEnd w:id="359"/>
      <w:bookmarkEnd w:id="360"/>
      <w:bookmarkEnd w:id="361"/>
    </w:p>
    <w:p w14:paraId="7E8A1200" w14:textId="77777777" w:rsidR="008810A2" w:rsidRDefault="00D921E0">
      <w:pPr>
        <w:spacing w:line="312" w:lineRule="auto"/>
        <w:ind w:firstLineChars="0" w:firstLine="0"/>
        <w:rPr>
          <w:color w:val="000000" w:themeColor="text1"/>
          <w:szCs w:val="28"/>
        </w:rPr>
      </w:pPr>
      <w:r>
        <w:rPr>
          <w:b/>
          <w:bCs/>
          <w:color w:val="000000" w:themeColor="text1"/>
          <w:kern w:val="0"/>
          <w:sz w:val="28"/>
          <w:szCs w:val="20"/>
          <w:lang w:val="zh-CN"/>
        </w:rPr>
        <w:t>如引用或转载，请注明来源。</w:t>
      </w:r>
    </w:p>
    <w:p w14:paraId="11E19586" w14:textId="77777777" w:rsidR="008810A2" w:rsidRDefault="00D921E0">
      <w:pPr>
        <w:spacing w:line="312" w:lineRule="auto"/>
        <w:ind w:firstLineChars="0" w:firstLine="0"/>
        <w:rPr>
          <w:color w:val="000000" w:themeColor="text1"/>
          <w:szCs w:val="28"/>
        </w:rPr>
      </w:pPr>
      <w:r>
        <w:rPr>
          <w:rFonts w:hint="eastAsia"/>
          <w:b/>
          <w:bCs/>
          <w:color w:val="000000" w:themeColor="text1"/>
          <w:kern w:val="0"/>
          <w:sz w:val="28"/>
          <w:szCs w:val="20"/>
          <w:lang w:val="zh-CN"/>
        </w:rPr>
        <w:t>如有合作需求，请致电</w:t>
      </w:r>
      <w:r>
        <w:rPr>
          <w:rFonts w:hint="eastAsia"/>
          <w:b/>
          <w:bCs/>
          <w:color w:val="000000" w:themeColor="text1"/>
          <w:kern w:val="0"/>
          <w:sz w:val="28"/>
          <w:szCs w:val="20"/>
          <w:lang w:val="zh-CN"/>
        </w:rPr>
        <w:t>5</w:t>
      </w:r>
      <w:r>
        <w:rPr>
          <w:b/>
          <w:bCs/>
          <w:color w:val="000000" w:themeColor="text1"/>
          <w:kern w:val="0"/>
          <w:sz w:val="28"/>
          <w:szCs w:val="20"/>
          <w:lang w:val="zh-CN"/>
        </w:rPr>
        <w:t>8813423</w:t>
      </w:r>
      <w:r>
        <w:rPr>
          <w:rFonts w:hint="eastAsia"/>
          <w:b/>
          <w:bCs/>
          <w:color w:val="000000" w:themeColor="text1"/>
          <w:kern w:val="0"/>
          <w:sz w:val="28"/>
          <w:szCs w:val="20"/>
        </w:rPr>
        <w:t>（郝女士）</w:t>
      </w:r>
      <w:r>
        <w:rPr>
          <w:b/>
          <w:bCs/>
          <w:color w:val="000000" w:themeColor="text1"/>
          <w:kern w:val="0"/>
          <w:sz w:val="28"/>
          <w:szCs w:val="20"/>
          <w:lang w:val="zh-CN"/>
        </w:rPr>
        <w:t>/58813316</w:t>
      </w:r>
      <w:r>
        <w:rPr>
          <w:rFonts w:hint="eastAsia"/>
          <w:b/>
          <w:bCs/>
          <w:color w:val="000000" w:themeColor="text1"/>
          <w:kern w:val="0"/>
          <w:sz w:val="28"/>
          <w:szCs w:val="20"/>
          <w:lang w:val="zh-CN"/>
        </w:rPr>
        <w:t>（孟女士）</w:t>
      </w:r>
    </w:p>
    <w:p w14:paraId="1631E21D" w14:textId="77777777" w:rsidR="008810A2" w:rsidRPr="00A057C8" w:rsidRDefault="008810A2">
      <w:pPr>
        <w:spacing w:line="312" w:lineRule="auto"/>
        <w:ind w:firstLineChars="0" w:firstLine="0"/>
        <w:rPr>
          <w:color w:val="000000" w:themeColor="text1"/>
          <w:szCs w:val="28"/>
        </w:rPr>
      </w:pPr>
    </w:p>
    <w:sectPr w:rsidR="008810A2" w:rsidRPr="00A057C8">
      <w:headerReference w:type="even" r:id="rId81"/>
      <w:headerReference w:type="default" r:id="rId82"/>
      <w:footerReference w:type="even" r:id="rId83"/>
      <w:footerReference w:type="default" r:id="rId84"/>
      <w:headerReference w:type="first" r:id="rId85"/>
      <w:footerReference w:type="first" r:id="rId86"/>
      <w:pgSz w:w="11906" w:h="16838"/>
      <w:pgMar w:top="1440" w:right="1843" w:bottom="1440" w:left="1797" w:header="851" w:footer="992" w:gutter="0"/>
      <w:cols w:space="425"/>
      <w:vAlign w:val="cen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D7CFA" w14:textId="77777777" w:rsidR="00A548FA" w:rsidRDefault="00A548FA">
      <w:pPr>
        <w:spacing w:line="240" w:lineRule="auto"/>
        <w:ind w:firstLine="420"/>
      </w:pPr>
      <w:r>
        <w:separator/>
      </w:r>
    </w:p>
  </w:endnote>
  <w:endnote w:type="continuationSeparator" w:id="0">
    <w:p w14:paraId="45800772" w14:textId="77777777" w:rsidR="00A548FA" w:rsidRDefault="00A548FA">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_GB2312">
    <w:altName w:val="微软雅黑"/>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Adobe 黑体 Std R">
    <w:panose1 w:val="020B0400000000000000"/>
    <w:charset w:val="86"/>
    <w:family w:val="swiss"/>
    <w:notTrueType/>
    <w:pitch w:val="variable"/>
    <w:sig w:usb0="00000207" w:usb1="0A0F1810" w:usb2="00000016" w:usb3="00000000" w:csb0="00060007" w:csb1="00000000"/>
  </w:font>
  <w:font w:name="timesnewroman">
    <w:altName w:val="Times New Roman"/>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463D" w14:textId="77777777" w:rsidR="008810A2" w:rsidRDefault="008810A2">
    <w:pPr>
      <w:pStyle w:val="af6"/>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60349" w14:textId="77777777" w:rsidR="008810A2" w:rsidRDefault="008810A2">
    <w:pPr>
      <w:pStyle w:val="af6"/>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4DD2" w14:textId="77777777" w:rsidR="008810A2" w:rsidRDefault="008810A2">
    <w:pPr>
      <w:pStyle w:val="af6"/>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0CD7" w14:textId="77777777" w:rsidR="008810A2" w:rsidRDefault="008810A2">
    <w:pPr>
      <w:pStyle w:val="af6"/>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E415" w14:textId="77777777" w:rsidR="008810A2" w:rsidRDefault="00D921E0">
    <w:pPr>
      <w:pStyle w:val="TOC7"/>
      <w:ind w:firstLine="440"/>
    </w:pPr>
    <w:r>
      <w:rPr>
        <w:noProof/>
      </w:rPr>
      <mc:AlternateContent>
        <mc:Choice Requires="wps">
          <w:drawing>
            <wp:anchor distT="0" distB="0" distL="114300" distR="114300" simplePos="0" relativeHeight="251668480" behindDoc="0" locked="0" layoutInCell="1" allowOverlap="1" wp14:anchorId="49A828DD" wp14:editId="53349268">
              <wp:simplePos x="0" y="0"/>
              <wp:positionH relativeFrom="column">
                <wp:posOffset>-353060</wp:posOffset>
              </wp:positionH>
              <wp:positionV relativeFrom="paragraph">
                <wp:posOffset>-151130</wp:posOffset>
              </wp:positionV>
              <wp:extent cx="581025" cy="419100"/>
              <wp:effectExtent l="0" t="0" r="0" b="0"/>
              <wp:wrapNone/>
              <wp:docPr id="151083658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10A39065" w14:textId="77777777" w:rsidR="008810A2" w:rsidRDefault="00D921E0">
                          <w:pPr>
                            <w:ind w:firstLineChars="0" w:firstLine="0"/>
                          </w:pPr>
                          <w:r>
                            <w:rPr>
                              <w:noProof/>
                            </w:rPr>
                            <w:drawing>
                              <wp:inline distT="0" distB="0" distL="0" distR="0" wp14:anchorId="2D1847FA" wp14:editId="178E0F26">
                                <wp:extent cx="312420" cy="327660"/>
                                <wp:effectExtent l="19050" t="0" r="0" b="0"/>
                                <wp:docPr id="1527451703" name="图片 1527451703"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51703" name="图片 1527451703"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49A828DD" id="_x0000_s1037" style="position:absolute;left:0;text-align:left;margin-left:-27.8pt;margin-top:-11.9pt;width:45.7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OX8AEAAMc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" stroked="f">
              <v:textbox>
                <w:txbxContent>
                  <w:p w14:paraId="10A39065" w14:textId="77777777" w:rsidR="008810A2" w:rsidRDefault="00D921E0">
                    <w:pPr>
                      <w:ind w:firstLineChars="0" w:firstLine="0"/>
                    </w:pPr>
                    <w:r>
                      <w:rPr>
                        <w:noProof/>
                      </w:rPr>
                      <w:drawing>
                        <wp:inline distT="0" distB="0" distL="0" distR="0" wp14:anchorId="2D1847FA" wp14:editId="178E0F26">
                          <wp:extent cx="312420" cy="327660"/>
                          <wp:effectExtent l="19050" t="0" r="0" b="0"/>
                          <wp:docPr id="1527451703" name="图片 1527451703"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51703" name="图片 1527451703"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22E17DBE" wp14:editId="3FA1B352">
              <wp:simplePos x="0" y="0"/>
              <wp:positionH relativeFrom="page">
                <wp:posOffset>190500</wp:posOffset>
              </wp:positionH>
              <wp:positionV relativeFrom="page">
                <wp:posOffset>9777730</wp:posOffset>
              </wp:positionV>
              <wp:extent cx="762000" cy="895350"/>
              <wp:effectExtent l="0" t="0" r="0" b="0"/>
              <wp:wrapNone/>
              <wp:docPr id="121342424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5B816552"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54</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22E17DBE" id="_x0000_s1038" style="position:absolute;left:0;text-align:left;margin-left:15pt;margin-top:769.9pt;width:60pt;height:70.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Lc8QEAAMc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" stroked="f">
              <v:textbox>
                <w:txbxContent>
                  <w:p w14:paraId="5B816552"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54</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82C0" w14:textId="77777777" w:rsidR="008810A2" w:rsidRDefault="00D921E0">
    <w:pPr>
      <w:pStyle w:val="TOC7"/>
      <w:ind w:firstLine="440"/>
    </w:pPr>
    <w:r>
      <w:rPr>
        <w:noProof/>
      </w:rPr>
      <mc:AlternateContent>
        <mc:Choice Requires="wps">
          <w:drawing>
            <wp:anchor distT="0" distB="0" distL="114300" distR="114300" simplePos="0" relativeHeight="251666432" behindDoc="0" locked="0" layoutInCell="1" allowOverlap="1" wp14:anchorId="39692DB3" wp14:editId="130B0EDC">
              <wp:simplePos x="0" y="0"/>
              <wp:positionH relativeFrom="column">
                <wp:posOffset>5067300</wp:posOffset>
              </wp:positionH>
              <wp:positionV relativeFrom="paragraph">
                <wp:posOffset>-146050</wp:posOffset>
              </wp:positionV>
              <wp:extent cx="581025" cy="419100"/>
              <wp:effectExtent l="0" t="0" r="0" b="0"/>
              <wp:wrapNone/>
              <wp:docPr id="37646579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6C53D71F" w14:textId="77777777" w:rsidR="008810A2" w:rsidRDefault="00D921E0">
                          <w:pPr>
                            <w:ind w:firstLineChars="0" w:firstLine="0"/>
                          </w:pPr>
                          <w:r>
                            <w:rPr>
                              <w:noProof/>
                            </w:rPr>
                            <w:drawing>
                              <wp:inline distT="0" distB="0" distL="0" distR="0" wp14:anchorId="3FE7E9AA" wp14:editId="3EFBF5D3">
                                <wp:extent cx="312420" cy="327660"/>
                                <wp:effectExtent l="19050" t="0" r="0" b="0"/>
                                <wp:docPr id="935829700" name="图片 935829700"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29700" name="图片 935829700"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39692DB3" id="_x0000_s1039" style="position:absolute;left:0;text-align:left;margin-left:399pt;margin-top:-11.5pt;width:45.75pt;height:3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V8QEAAMc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" stroked="f">
              <v:textbox>
                <w:txbxContent>
                  <w:p w14:paraId="6C53D71F" w14:textId="77777777" w:rsidR="008810A2" w:rsidRDefault="00D921E0">
                    <w:pPr>
                      <w:ind w:firstLineChars="0" w:firstLine="0"/>
                    </w:pPr>
                    <w:r>
                      <w:rPr>
                        <w:noProof/>
                      </w:rPr>
                      <w:drawing>
                        <wp:inline distT="0" distB="0" distL="0" distR="0" wp14:anchorId="3FE7E9AA" wp14:editId="3EFBF5D3">
                          <wp:extent cx="312420" cy="327660"/>
                          <wp:effectExtent l="19050" t="0" r="0" b="0"/>
                          <wp:docPr id="935829700" name="图片 935829700"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29700" name="图片 935829700"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2A45D7CE" wp14:editId="5474B10F">
              <wp:simplePos x="0" y="0"/>
              <wp:positionH relativeFrom="page">
                <wp:posOffset>6607810</wp:posOffset>
              </wp:positionH>
              <wp:positionV relativeFrom="page">
                <wp:posOffset>9777730</wp:posOffset>
              </wp:positionV>
              <wp:extent cx="762000" cy="895350"/>
              <wp:effectExtent l="0" t="0" r="0" b="0"/>
              <wp:wrapNone/>
              <wp:docPr id="25765798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67055B7B"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55</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2A45D7CE" id="_x0000_s1040" style="position:absolute;left:0;text-align:left;margin-left:520.3pt;margin-top:769.9pt;width:60pt;height:70.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" stroked="f">
              <v:textbox>
                <w:txbxContent>
                  <w:p w14:paraId="67055B7B"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55</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9594" w14:textId="77777777" w:rsidR="008810A2" w:rsidRDefault="008810A2">
    <w:pPr>
      <w:pStyle w:val="af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224E" w14:textId="77777777" w:rsidR="008810A2" w:rsidRDefault="008810A2">
    <w:pPr>
      <w:pStyle w:val="TOC7"/>
      <w:ind w:firstLine="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65DD" w14:textId="77777777" w:rsidR="008810A2" w:rsidRDefault="008810A2">
    <w:pPr>
      <w:pStyle w:val="af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32D1" w14:textId="77777777" w:rsidR="008810A2" w:rsidRDefault="00D921E0">
    <w:pPr>
      <w:pStyle w:val="TOC7"/>
      <w:ind w:firstLine="440"/>
    </w:pPr>
    <w:r>
      <w:rPr>
        <w:noProof/>
      </w:rPr>
      <mc:AlternateContent>
        <mc:Choice Requires="wps">
          <w:drawing>
            <wp:anchor distT="0" distB="0" distL="114300" distR="114300" simplePos="0" relativeHeight="251664384" behindDoc="0" locked="0" layoutInCell="1" allowOverlap="1" wp14:anchorId="127FE6EF" wp14:editId="4FCB13A6">
              <wp:simplePos x="0" y="0"/>
              <wp:positionH relativeFrom="column">
                <wp:posOffset>-314325</wp:posOffset>
              </wp:positionH>
              <wp:positionV relativeFrom="paragraph">
                <wp:posOffset>45085</wp:posOffset>
              </wp:positionV>
              <wp:extent cx="495300" cy="419100"/>
              <wp:effectExtent l="0" t="0" r="0" b="0"/>
              <wp:wrapNone/>
              <wp:docPr id="5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a:noFill/>
                      </a:ln>
                    </wps:spPr>
                    <wps:txbx>
                      <w:txbxContent>
                        <w:p w14:paraId="70C5D461" w14:textId="77777777" w:rsidR="008810A2" w:rsidRDefault="00D921E0">
                          <w:pPr>
                            <w:ind w:firstLineChars="0" w:firstLine="0"/>
                          </w:pPr>
                          <w:r>
                            <w:rPr>
                              <w:noProof/>
                            </w:rPr>
                            <w:drawing>
                              <wp:inline distT="0" distB="0" distL="0" distR="0" wp14:anchorId="6199EF55" wp14:editId="697F73AE">
                                <wp:extent cx="312420" cy="327660"/>
                                <wp:effectExtent l="19050" t="0" r="0" b="0"/>
                                <wp:docPr id="253388363" name="图片 253388363"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88363" name="图片 253388363"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127FE6EF" id="Rectangle 169" o:spid="_x0000_s1027" style="position:absolute;left:0;text-align:left;margin-left:-24.75pt;margin-top:3.55pt;width:39pt;height: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" stroked="f">
              <v:textbox>
                <w:txbxContent>
                  <w:p w14:paraId="70C5D461" w14:textId="77777777" w:rsidR="008810A2" w:rsidRDefault="00D921E0">
                    <w:pPr>
                      <w:ind w:firstLineChars="0" w:firstLine="0"/>
                    </w:pPr>
                    <w:r>
                      <w:rPr>
                        <w:noProof/>
                      </w:rPr>
                      <w:drawing>
                        <wp:inline distT="0" distB="0" distL="0" distR="0" wp14:anchorId="6199EF55" wp14:editId="697F73AE">
                          <wp:extent cx="312420" cy="327660"/>
                          <wp:effectExtent l="19050" t="0" r="0" b="0"/>
                          <wp:docPr id="253388363" name="图片 253388363"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88363" name="图片 253388363"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t>48</w:t>
    </w:r>
    <w:r>
      <w:rPr>
        <w:rFonts w:hint="eastAsia"/>
      </w:rPr>
      <w:t>次中国互联网络发展状况统计报告</w:t>
    </w:r>
  </w:p>
  <w:p w14:paraId="24A3667A" w14:textId="77777777" w:rsidR="008810A2" w:rsidRDefault="008810A2">
    <w:pPr>
      <w:pStyle w:val="af6"/>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D563" w14:textId="77777777" w:rsidR="008810A2" w:rsidRDefault="00D921E0">
    <w:pPr>
      <w:pStyle w:val="TOC7"/>
      <w:ind w:firstLine="440"/>
    </w:pPr>
    <w:r>
      <w:rPr>
        <w:noProof/>
      </w:rPr>
      <mc:AlternateContent>
        <mc:Choice Requires="wps">
          <w:drawing>
            <wp:anchor distT="0" distB="0" distL="114300" distR="114300" simplePos="0" relativeHeight="251663360" behindDoc="0" locked="0" layoutInCell="1" allowOverlap="1" wp14:anchorId="3CBDA351" wp14:editId="522F365D">
              <wp:simplePos x="0" y="0"/>
              <wp:positionH relativeFrom="column">
                <wp:posOffset>5067300</wp:posOffset>
              </wp:positionH>
              <wp:positionV relativeFrom="paragraph">
                <wp:posOffset>-84455</wp:posOffset>
              </wp:positionV>
              <wp:extent cx="952500" cy="600075"/>
              <wp:effectExtent l="0" t="0" r="0" b="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wps:spPr>
                    <wps:txbx>
                      <w:txbxContent>
                        <w:p w14:paraId="4E9F818E" w14:textId="77777777" w:rsidR="008810A2" w:rsidRDefault="00D921E0">
                          <w:pPr>
                            <w:ind w:firstLineChars="0" w:firstLine="0"/>
                          </w:pPr>
                          <w:r>
                            <w:rPr>
                              <w:noProof/>
                            </w:rPr>
                            <w:drawing>
                              <wp:inline distT="0" distB="0" distL="0" distR="0" wp14:anchorId="5985D850" wp14:editId="7EC869CC">
                                <wp:extent cx="312420" cy="327660"/>
                                <wp:effectExtent l="19050" t="0" r="0" b="0"/>
                                <wp:docPr id="1088700917" name="图片 1088700917"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00917" name="图片 1088700917"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3CBDA351" id="Rectangle 86" o:spid="_x0000_s1028" style="position:absolute;left:0;text-align:left;margin-left:399pt;margin-top:-6.65pt;width:75pt;height:4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" stroked="f">
              <v:textbox>
                <w:txbxContent>
                  <w:p w14:paraId="4E9F818E" w14:textId="77777777" w:rsidR="008810A2" w:rsidRDefault="00D921E0">
                    <w:pPr>
                      <w:ind w:firstLineChars="0" w:firstLine="0"/>
                    </w:pPr>
                    <w:r>
                      <w:rPr>
                        <w:noProof/>
                      </w:rPr>
                      <w:drawing>
                        <wp:inline distT="0" distB="0" distL="0" distR="0" wp14:anchorId="5985D850" wp14:editId="7EC869CC">
                          <wp:extent cx="312420" cy="327660"/>
                          <wp:effectExtent l="19050" t="0" r="0" b="0"/>
                          <wp:docPr id="1088700917" name="图片 1088700917"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00917" name="图片 1088700917"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rPr>
        <w:rFonts w:hint="eastAsia"/>
      </w:rPr>
      <w:t>54</w:t>
    </w:r>
    <w:r>
      <w:rPr>
        <w:rFonts w:hint="eastAsia"/>
      </w:rPr>
      <w:t>次中国互联网络发展状况统计报告</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EE7F" w14:textId="77777777" w:rsidR="008810A2" w:rsidRDefault="00D921E0">
    <w:pPr>
      <w:pStyle w:val="TOC7"/>
      <w:ind w:firstLine="440"/>
    </w:pPr>
    <w:r>
      <w:rPr>
        <w:noProof/>
      </w:rPr>
      <mc:AlternateContent>
        <mc:Choice Requires="wps">
          <w:drawing>
            <wp:anchor distT="0" distB="0" distL="114300" distR="114300" simplePos="0" relativeHeight="251662336" behindDoc="0" locked="0" layoutInCell="1" allowOverlap="1" wp14:anchorId="5DCBB77D" wp14:editId="6B4B1411">
              <wp:simplePos x="0" y="0"/>
              <wp:positionH relativeFrom="column">
                <wp:posOffset>-353060</wp:posOffset>
              </wp:positionH>
              <wp:positionV relativeFrom="paragraph">
                <wp:posOffset>-151130</wp:posOffset>
              </wp:positionV>
              <wp:extent cx="581025" cy="419100"/>
              <wp:effectExtent l="0" t="0" r="0" b="0"/>
              <wp:wrapNone/>
              <wp:docPr id="3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476EC467" w14:textId="77777777" w:rsidR="008810A2" w:rsidRDefault="00D921E0">
                          <w:pPr>
                            <w:ind w:firstLineChars="0" w:firstLine="0"/>
                          </w:pPr>
                          <w:r>
                            <w:rPr>
                              <w:noProof/>
                            </w:rPr>
                            <w:drawing>
                              <wp:inline distT="0" distB="0" distL="0" distR="0" wp14:anchorId="698FB729" wp14:editId="49728A11">
                                <wp:extent cx="312420" cy="327660"/>
                                <wp:effectExtent l="19050" t="0" r="0" b="0"/>
                                <wp:docPr id="429829738" name="图片 429829738"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29738" name="图片 429829738"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5DCBB77D" id="Rectangle 159" o:spid="_x0000_s1029" style="position:absolute;left:0;text-align:left;margin-left:-27.8pt;margin-top:-11.9pt;width:45.7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5Z8AEAAMY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" stroked="f">
              <v:textbox>
                <w:txbxContent>
                  <w:p w14:paraId="476EC467" w14:textId="77777777" w:rsidR="008810A2" w:rsidRDefault="00D921E0">
                    <w:pPr>
                      <w:ind w:firstLineChars="0" w:firstLine="0"/>
                    </w:pPr>
                    <w:r>
                      <w:rPr>
                        <w:noProof/>
                      </w:rPr>
                      <w:drawing>
                        <wp:inline distT="0" distB="0" distL="0" distR="0" wp14:anchorId="698FB729" wp14:editId="49728A11">
                          <wp:extent cx="312420" cy="327660"/>
                          <wp:effectExtent l="19050" t="0" r="0" b="0"/>
                          <wp:docPr id="429829738" name="图片 429829738"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29738" name="图片 429829738"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A4DD254" wp14:editId="568AA79F">
              <wp:simplePos x="0" y="0"/>
              <wp:positionH relativeFrom="page">
                <wp:posOffset>190500</wp:posOffset>
              </wp:positionH>
              <wp:positionV relativeFrom="page">
                <wp:posOffset>9777730</wp:posOffset>
              </wp:positionV>
              <wp:extent cx="762000" cy="895350"/>
              <wp:effectExtent l="0" t="0" r="0" b="0"/>
              <wp:wrapNone/>
              <wp:docPr id="25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401E5BCE"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II</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3A4DD254" id="Rectangle 158" o:spid="_x0000_s1030" style="position:absolute;left:0;text-align:left;margin-left:15pt;margin-top:769.9pt;width:60pt;height:70.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" stroked="f">
              <v:textbox>
                <w:txbxContent>
                  <w:p w14:paraId="401E5BCE"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II</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002B9" w14:textId="77777777" w:rsidR="008810A2" w:rsidRDefault="00D921E0">
    <w:pPr>
      <w:pStyle w:val="TOC7"/>
      <w:ind w:firstLine="440"/>
    </w:pPr>
    <w:r>
      <w:rPr>
        <w:noProof/>
      </w:rPr>
      <mc:AlternateContent>
        <mc:Choice Requires="wps">
          <w:drawing>
            <wp:anchor distT="0" distB="0" distL="114300" distR="114300" simplePos="0" relativeHeight="251660288" behindDoc="0" locked="0" layoutInCell="1" allowOverlap="1" wp14:anchorId="204D6710" wp14:editId="5477A4A8">
              <wp:simplePos x="0" y="0"/>
              <wp:positionH relativeFrom="column">
                <wp:posOffset>5067300</wp:posOffset>
              </wp:positionH>
              <wp:positionV relativeFrom="paragraph">
                <wp:posOffset>-146050</wp:posOffset>
              </wp:positionV>
              <wp:extent cx="581025" cy="419100"/>
              <wp:effectExtent l="0" t="0" r="0" b="0"/>
              <wp:wrapNone/>
              <wp:docPr id="2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1B35225A" w14:textId="77777777" w:rsidR="008810A2" w:rsidRDefault="00D921E0">
                          <w:pPr>
                            <w:ind w:firstLineChars="0" w:firstLine="0"/>
                          </w:pPr>
                          <w:r>
                            <w:rPr>
                              <w:noProof/>
                            </w:rPr>
                            <w:drawing>
                              <wp:inline distT="0" distB="0" distL="0" distR="0" wp14:anchorId="4A2796C6" wp14:editId="6BD019A5">
                                <wp:extent cx="312420" cy="327660"/>
                                <wp:effectExtent l="19050" t="0" r="0" b="0"/>
                                <wp:docPr id="1490265575" name="图片 1490265575"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65575" name="图片 1490265575"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204D6710" id="Rectangle 154" o:spid="_x0000_s1031" style="position:absolute;left:0;text-align:left;margin-left:399pt;margin-top:-11.5pt;width:45.75pt;height:3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Je8AEAAMY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" stroked="f">
              <v:textbox>
                <w:txbxContent>
                  <w:p w14:paraId="1B35225A" w14:textId="77777777" w:rsidR="008810A2" w:rsidRDefault="00D921E0">
                    <w:pPr>
                      <w:ind w:firstLineChars="0" w:firstLine="0"/>
                    </w:pPr>
                    <w:r>
                      <w:rPr>
                        <w:noProof/>
                      </w:rPr>
                      <w:drawing>
                        <wp:inline distT="0" distB="0" distL="0" distR="0" wp14:anchorId="4A2796C6" wp14:editId="6BD019A5">
                          <wp:extent cx="312420" cy="327660"/>
                          <wp:effectExtent l="19050" t="0" r="0" b="0"/>
                          <wp:docPr id="1490265575" name="图片 1490265575"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65575" name="图片 1490265575"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CF4A4B0" wp14:editId="205EBDBE">
              <wp:simplePos x="0" y="0"/>
              <wp:positionH relativeFrom="page">
                <wp:posOffset>6607810</wp:posOffset>
              </wp:positionH>
              <wp:positionV relativeFrom="page">
                <wp:posOffset>9777730</wp:posOffset>
              </wp:positionV>
              <wp:extent cx="762000" cy="895350"/>
              <wp:effectExtent l="0" t="0" r="0" b="0"/>
              <wp:wrapNone/>
              <wp:docPr id="2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4F0F230C"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I</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0CF4A4B0" id="Rectangle 153" o:spid="_x0000_s1032" style="position:absolute;left:0;text-align:left;margin-left:520.3pt;margin-top:769.9pt;width:60pt;height:70.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Sx8Q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" stroked="f">
              <v:textbox>
                <w:txbxContent>
                  <w:p w14:paraId="4F0F230C"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I</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F804D" w14:textId="77777777" w:rsidR="008810A2" w:rsidRDefault="00D921E0">
    <w:pPr>
      <w:pStyle w:val="TOC7"/>
      <w:ind w:firstLine="440"/>
    </w:pPr>
    <w:r>
      <w:rPr>
        <w:noProof/>
      </w:rPr>
      <mc:AlternateContent>
        <mc:Choice Requires="wps">
          <w:drawing>
            <wp:anchor distT="0" distB="0" distL="114300" distR="114300" simplePos="0" relativeHeight="251675648" behindDoc="0" locked="0" layoutInCell="1" allowOverlap="1" wp14:anchorId="66E3E9DE" wp14:editId="508FD180">
              <wp:simplePos x="0" y="0"/>
              <wp:positionH relativeFrom="column">
                <wp:posOffset>-353060</wp:posOffset>
              </wp:positionH>
              <wp:positionV relativeFrom="paragraph">
                <wp:posOffset>-151130</wp:posOffset>
              </wp:positionV>
              <wp:extent cx="581025" cy="419100"/>
              <wp:effectExtent l="0" t="0" r="13335" b="7620"/>
              <wp:wrapNone/>
              <wp:docPr id="6"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7A3FAE20" w14:textId="77777777" w:rsidR="008810A2" w:rsidRDefault="00D921E0">
                          <w:pPr>
                            <w:ind w:firstLineChars="0" w:firstLine="0"/>
                          </w:pPr>
                          <w:r>
                            <w:rPr>
                              <w:noProof/>
                            </w:rPr>
                            <w:drawing>
                              <wp:inline distT="0" distB="0" distL="0" distR="0" wp14:anchorId="2974C87A" wp14:editId="003BBBC7">
                                <wp:extent cx="312420" cy="327660"/>
                                <wp:effectExtent l="0" t="0" r="7620" b="7620"/>
                                <wp:docPr id="1691618295" name="图片 1691618295"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18295" name="图片 1691618295"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66E3E9DE" id="_x0000_s1033" style="position:absolute;left:0;text-align:left;margin-left:-27.8pt;margin-top:-11.9pt;width:45.75pt;height:3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" stroked="f">
              <v:textbox>
                <w:txbxContent>
                  <w:p w14:paraId="7A3FAE20" w14:textId="77777777" w:rsidR="008810A2" w:rsidRDefault="00D921E0">
                    <w:pPr>
                      <w:ind w:firstLineChars="0" w:firstLine="0"/>
                    </w:pPr>
                    <w:r>
                      <w:rPr>
                        <w:noProof/>
                      </w:rPr>
                      <w:drawing>
                        <wp:inline distT="0" distB="0" distL="0" distR="0" wp14:anchorId="2974C87A" wp14:editId="003BBBC7">
                          <wp:extent cx="312420" cy="327660"/>
                          <wp:effectExtent l="0" t="0" r="7620" b="7620"/>
                          <wp:docPr id="1691618295" name="图片 1691618295"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18295" name="图片 1691618295"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3864EBE6" wp14:editId="12BAAC93">
              <wp:simplePos x="0" y="0"/>
              <wp:positionH relativeFrom="page">
                <wp:posOffset>190500</wp:posOffset>
              </wp:positionH>
              <wp:positionV relativeFrom="page">
                <wp:posOffset>9777730</wp:posOffset>
              </wp:positionV>
              <wp:extent cx="762000" cy="895350"/>
              <wp:effectExtent l="0" t="0" r="0" b="3810"/>
              <wp:wrapNone/>
              <wp:docPr id="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6521406F"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14</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3864EBE6" id="_x0000_s1034" style="position:absolute;left:0;text-align:left;margin-left:15pt;margin-top:769.9pt;width:60pt;height:70.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" stroked="f">
              <v:textbox>
                <w:txbxContent>
                  <w:p w14:paraId="6521406F"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14</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0014" w14:textId="77777777" w:rsidR="008810A2" w:rsidRDefault="00D921E0">
    <w:pPr>
      <w:pStyle w:val="TOC7"/>
      <w:ind w:firstLine="440"/>
    </w:pPr>
    <w:r>
      <w:rPr>
        <w:noProof/>
      </w:rPr>
      <mc:AlternateContent>
        <mc:Choice Requires="wps">
          <w:drawing>
            <wp:anchor distT="0" distB="0" distL="114300" distR="114300" simplePos="0" relativeHeight="251673600" behindDoc="0" locked="0" layoutInCell="1" allowOverlap="1" wp14:anchorId="1E7B4AF6" wp14:editId="7AF784BF">
              <wp:simplePos x="0" y="0"/>
              <wp:positionH relativeFrom="column">
                <wp:posOffset>5067300</wp:posOffset>
              </wp:positionH>
              <wp:positionV relativeFrom="paragraph">
                <wp:posOffset>-146050</wp:posOffset>
              </wp:positionV>
              <wp:extent cx="581025" cy="419100"/>
              <wp:effectExtent l="0" t="0" r="13335" b="7620"/>
              <wp:wrapNone/>
              <wp:docPr id="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0C917AA2" w14:textId="77777777" w:rsidR="008810A2" w:rsidRDefault="00D921E0">
                          <w:pPr>
                            <w:ind w:firstLineChars="0" w:firstLine="0"/>
                          </w:pPr>
                          <w:r>
                            <w:rPr>
                              <w:noProof/>
                            </w:rPr>
                            <w:drawing>
                              <wp:inline distT="0" distB="0" distL="0" distR="0" wp14:anchorId="0E9F7166" wp14:editId="15CE2110">
                                <wp:extent cx="312420" cy="327660"/>
                                <wp:effectExtent l="0" t="0" r="7620" b="7620"/>
                                <wp:docPr id="662036852" name="图片 662036852"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6852" name="图片 662036852"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1E7B4AF6" id="_x0000_s1035" style="position:absolute;left:0;text-align:left;margin-left:399pt;margin-top:-11.5pt;width:45.75pt;height:3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" stroked="f">
              <v:textbox>
                <w:txbxContent>
                  <w:p w14:paraId="0C917AA2" w14:textId="77777777" w:rsidR="008810A2" w:rsidRDefault="00D921E0">
                    <w:pPr>
                      <w:ind w:firstLineChars="0" w:firstLine="0"/>
                    </w:pPr>
                    <w:r>
                      <w:rPr>
                        <w:noProof/>
                      </w:rPr>
                      <w:drawing>
                        <wp:inline distT="0" distB="0" distL="0" distR="0" wp14:anchorId="0E9F7166" wp14:editId="15CE2110">
                          <wp:extent cx="312420" cy="327660"/>
                          <wp:effectExtent l="0" t="0" r="7620" b="7620"/>
                          <wp:docPr id="662036852" name="图片 662036852"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6852" name="图片 662036852"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04AC9B3C" wp14:editId="6CCC0C69">
              <wp:simplePos x="0" y="0"/>
              <wp:positionH relativeFrom="page">
                <wp:posOffset>6607810</wp:posOffset>
              </wp:positionH>
              <wp:positionV relativeFrom="page">
                <wp:posOffset>9777730</wp:posOffset>
              </wp:positionV>
              <wp:extent cx="762000" cy="895350"/>
              <wp:effectExtent l="0" t="0" r="0" b="3810"/>
              <wp:wrapNone/>
              <wp:docPr id="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42FCE103"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1</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04AC9B3C" id="_x0000_s1036" style="position:absolute;left:0;text-align:left;margin-left:520.3pt;margin-top:769.9pt;width:60pt;height:70.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" stroked="f">
              <v:textbox>
                <w:txbxContent>
                  <w:p w14:paraId="42FCE103"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1</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C7982" w14:textId="77777777" w:rsidR="00A548FA" w:rsidRDefault="00A548FA" w:rsidP="00407C9F">
      <w:pPr>
        <w:ind w:firstLineChars="0" w:firstLine="0"/>
      </w:pPr>
      <w:r>
        <w:separator/>
      </w:r>
    </w:p>
  </w:footnote>
  <w:footnote w:type="continuationSeparator" w:id="0">
    <w:p w14:paraId="7DE3B530" w14:textId="77777777" w:rsidR="00A548FA" w:rsidRDefault="00A548FA">
      <w:pPr>
        <w:ind w:firstLine="420"/>
      </w:pPr>
      <w:r>
        <w:continuationSeparator/>
      </w:r>
    </w:p>
  </w:footnote>
  <w:footnote w:id="1">
    <w:p w14:paraId="31D55F38" w14:textId="77777777" w:rsidR="008810A2" w:rsidRDefault="00D921E0">
      <w:pPr>
        <w:pStyle w:val="afc"/>
      </w:pPr>
      <w:r>
        <w:rPr>
          <w:rStyle w:val="affe"/>
        </w:rPr>
        <w:footnoteRef/>
      </w:r>
      <w:r>
        <w:t xml:space="preserve"> </w:t>
      </w:r>
      <w:r>
        <w:rPr>
          <w:rFonts w:hint="eastAsia"/>
        </w:rPr>
        <w:t>来源：中国政府网，</w:t>
      </w:r>
      <w:r>
        <w:t>https://www.gov.cn/yaowen/liebiao/202407/content_6962022.htm</w:t>
      </w:r>
      <w:r>
        <w:t>，</w:t>
      </w:r>
      <w:r>
        <w:rPr>
          <w:rFonts w:hint="eastAsia"/>
        </w:rPr>
        <w:t>2</w:t>
      </w:r>
      <w:r>
        <w:t>02</w:t>
      </w:r>
      <w:r>
        <w:rPr>
          <w:rFonts w:hint="eastAsia"/>
        </w:rPr>
        <w:t>4</w:t>
      </w:r>
      <w:r>
        <w:t>年</w:t>
      </w:r>
      <w:r>
        <w:rPr>
          <w:rFonts w:hint="eastAsia"/>
        </w:rPr>
        <w:t>7</w:t>
      </w:r>
      <w:r>
        <w:t>月</w:t>
      </w:r>
      <w:r>
        <w:t>9</w:t>
      </w:r>
      <w:r>
        <w:t>日</w:t>
      </w:r>
      <w:r>
        <w:rPr>
          <w:rFonts w:hint="eastAsia"/>
        </w:rPr>
        <w:t>。</w:t>
      </w:r>
    </w:p>
  </w:footnote>
  <w:footnote w:id="2">
    <w:p w14:paraId="61B2C84D" w14:textId="77777777" w:rsidR="008810A2" w:rsidRDefault="00D921E0">
      <w:pPr>
        <w:pStyle w:val="afc"/>
      </w:pPr>
      <w:r>
        <w:rPr>
          <w:rStyle w:val="affe"/>
        </w:rPr>
        <w:footnoteRef/>
      </w:r>
      <w:r>
        <w:t xml:space="preserve"> </w:t>
      </w:r>
      <w:r>
        <w:rPr>
          <w:rFonts w:hint="eastAsia"/>
        </w:rPr>
        <w:t>来源：工业和信息化部，</w:t>
      </w:r>
      <w:r>
        <w:t>https://www.miit.gov.cn/jgsj/yxj/xxfb/art/2024/art_df19d637e3644b468c04e028d4b05651.html</w:t>
      </w:r>
      <w:r>
        <w:t>，</w:t>
      </w:r>
      <w:r>
        <w:rPr>
          <w:rFonts w:hint="eastAsia"/>
        </w:rPr>
        <w:t>2</w:t>
      </w:r>
      <w:r>
        <w:t>02</w:t>
      </w:r>
      <w:r>
        <w:rPr>
          <w:rFonts w:hint="eastAsia"/>
        </w:rPr>
        <w:t>4</w:t>
      </w:r>
      <w:r>
        <w:t>年</w:t>
      </w:r>
      <w:r>
        <w:rPr>
          <w:rFonts w:hint="eastAsia"/>
        </w:rPr>
        <w:t>7</w:t>
      </w:r>
      <w:r>
        <w:t>月</w:t>
      </w:r>
      <w:r>
        <w:rPr>
          <w:rFonts w:hint="eastAsia"/>
        </w:rPr>
        <w:t>23</w:t>
      </w:r>
      <w:r>
        <w:t>日</w:t>
      </w:r>
      <w:r>
        <w:rPr>
          <w:rFonts w:hint="eastAsia"/>
        </w:rPr>
        <w:t>。</w:t>
      </w:r>
    </w:p>
  </w:footnote>
  <w:footnote w:id="3">
    <w:p w14:paraId="22BB0D76" w14:textId="77777777" w:rsidR="008810A2" w:rsidRDefault="00D921E0">
      <w:pPr>
        <w:pStyle w:val="afc"/>
      </w:pPr>
      <w:r>
        <w:rPr>
          <w:rStyle w:val="affe"/>
        </w:rPr>
        <w:footnoteRef/>
      </w:r>
      <w:r>
        <w:t xml:space="preserve"> </w:t>
      </w:r>
      <w:r>
        <w:rPr>
          <w:rFonts w:hint="eastAsia"/>
        </w:rPr>
        <w:t>来源：工业和信息化部，</w:t>
      </w:r>
      <w:r>
        <w:t>https://www.miit.gov.cn/jgsj/yxj/xxfb/art/2024/art_df19d637e3644b468c04e028d4b05651.html</w:t>
      </w:r>
      <w:r>
        <w:t>，</w:t>
      </w:r>
      <w:r>
        <w:rPr>
          <w:rFonts w:hint="eastAsia"/>
        </w:rPr>
        <w:t>2</w:t>
      </w:r>
      <w:r>
        <w:t>02</w:t>
      </w:r>
      <w:r>
        <w:rPr>
          <w:rFonts w:hint="eastAsia"/>
        </w:rPr>
        <w:t>4</w:t>
      </w:r>
      <w:r>
        <w:t>年</w:t>
      </w:r>
      <w:r>
        <w:rPr>
          <w:rFonts w:hint="eastAsia"/>
        </w:rPr>
        <w:t>7</w:t>
      </w:r>
      <w:r>
        <w:t>月</w:t>
      </w:r>
      <w:r>
        <w:rPr>
          <w:rFonts w:hint="eastAsia"/>
        </w:rPr>
        <w:t>23</w:t>
      </w:r>
      <w:r>
        <w:t>日</w:t>
      </w:r>
      <w:r>
        <w:rPr>
          <w:rFonts w:hint="eastAsia"/>
        </w:rPr>
        <w:t>。</w:t>
      </w:r>
    </w:p>
  </w:footnote>
  <w:footnote w:id="4">
    <w:p w14:paraId="7D003963" w14:textId="77777777" w:rsidR="008810A2" w:rsidRDefault="00D921E0">
      <w:pPr>
        <w:pStyle w:val="afc"/>
      </w:pPr>
      <w:r>
        <w:rPr>
          <w:rStyle w:val="affe"/>
        </w:rPr>
        <w:footnoteRef/>
      </w:r>
      <w:r>
        <w:rPr>
          <w:rFonts w:hint="eastAsia"/>
        </w:rPr>
        <w:t xml:space="preserve"> </w:t>
      </w:r>
      <w:r>
        <w:rPr>
          <w:rFonts w:hint="eastAsia"/>
        </w:rPr>
        <w:t>此处</w:t>
      </w:r>
      <w:r>
        <w:rPr>
          <w:rFonts w:ascii="timesnewroman" w:hAnsi="timesnewroman" w:hint="eastAsia"/>
          <w:color w:val="000000" w:themeColor="text1"/>
          <w:szCs w:val="21"/>
        </w:rPr>
        <w:t>IPv6</w:t>
      </w:r>
      <w:r>
        <w:rPr>
          <w:rFonts w:ascii="timesnewroman" w:hAnsi="timesnewroman" w:hint="eastAsia"/>
          <w:color w:val="000000" w:themeColor="text1"/>
          <w:szCs w:val="21"/>
        </w:rPr>
        <w:t>活跃用户数</w:t>
      </w:r>
      <w:r>
        <w:rPr>
          <w:rFonts w:hint="eastAsia"/>
        </w:rPr>
        <w:t>取值为截至</w:t>
      </w:r>
      <w:r>
        <w:rPr>
          <w:rFonts w:hint="eastAsia"/>
        </w:rPr>
        <w:t>2024</w:t>
      </w:r>
      <w:r>
        <w:rPr>
          <w:rFonts w:hint="eastAsia"/>
        </w:rPr>
        <w:t>年</w:t>
      </w:r>
      <w:r>
        <w:rPr>
          <w:rFonts w:hint="eastAsia"/>
          <w:color w:val="000000"/>
        </w:rPr>
        <w:t>5</w:t>
      </w:r>
      <w:r>
        <w:rPr>
          <w:rFonts w:hint="eastAsia"/>
          <w:color w:val="000000"/>
        </w:rPr>
        <w:t>月底数据。</w:t>
      </w:r>
    </w:p>
  </w:footnote>
  <w:footnote w:id="5">
    <w:p w14:paraId="0CA67CC9" w14:textId="77777777" w:rsidR="008810A2" w:rsidRDefault="00D921E0">
      <w:pPr>
        <w:pStyle w:val="afc"/>
        <w:wordWrap/>
      </w:pPr>
      <w:r>
        <w:rPr>
          <w:rStyle w:val="affe"/>
        </w:rPr>
        <w:footnoteRef/>
      </w:r>
      <w:r>
        <w:t xml:space="preserve"> </w:t>
      </w:r>
      <w:r>
        <w:rPr>
          <w:rFonts w:hint="eastAsia"/>
        </w:rPr>
        <w:t>来源：传统通用顶级域名（</w:t>
      </w:r>
      <w:r>
        <w:rPr>
          <w:rFonts w:hint="eastAsia"/>
        </w:rPr>
        <w:t>gTLD</w:t>
      </w:r>
      <w:r>
        <w:rPr>
          <w:rFonts w:hint="eastAsia"/>
        </w:rPr>
        <w:t>）及新通用顶级域名（</w:t>
      </w:r>
      <w:r>
        <w:rPr>
          <w:rFonts w:hint="eastAsia"/>
        </w:rPr>
        <w:t>New gTLD</w:t>
      </w:r>
      <w:r>
        <w:rPr>
          <w:rFonts w:hint="eastAsia"/>
        </w:rPr>
        <w:t>）由国内域名注册单位协助提供。“</w:t>
      </w:r>
      <w:r>
        <w:rPr>
          <w:rFonts w:hint="eastAsia"/>
        </w:rPr>
        <w:t>.CN</w:t>
      </w:r>
      <w:r>
        <w:rPr>
          <w:rFonts w:hint="eastAsia"/>
        </w:rPr>
        <w:t>”“</w:t>
      </w:r>
      <w:r>
        <w:rPr>
          <w:rFonts w:hint="eastAsia"/>
        </w:rPr>
        <w:t>.</w:t>
      </w:r>
      <w:r>
        <w:rPr>
          <w:rFonts w:hint="eastAsia"/>
        </w:rPr>
        <w:t>中国”域名数量为全球注册量。</w:t>
      </w:r>
    </w:p>
  </w:footnote>
  <w:footnote w:id="6">
    <w:p w14:paraId="6A0DDB32" w14:textId="77777777" w:rsidR="008810A2" w:rsidRDefault="00D921E0">
      <w:pPr>
        <w:pStyle w:val="afc"/>
      </w:pPr>
      <w:r>
        <w:rPr>
          <w:rStyle w:val="affe"/>
        </w:rPr>
        <w:footnoteRef/>
      </w:r>
      <w:r>
        <w:t xml:space="preserve"> </w:t>
      </w:r>
      <w:r>
        <w:rPr>
          <w:rFonts w:hint="eastAsia"/>
        </w:rPr>
        <w:t>来源：工业和信息化部，</w:t>
      </w:r>
      <w:r>
        <w:t>https://www.miit.gov.cn/jgsj/yxj/xxfb/art/2024/art_df19d637e3644b468c04e028d4b05651.html</w:t>
      </w:r>
      <w:r>
        <w:t>，</w:t>
      </w:r>
      <w:r>
        <w:rPr>
          <w:rFonts w:hint="eastAsia"/>
        </w:rPr>
        <w:t>2</w:t>
      </w:r>
      <w:r>
        <w:t>02</w:t>
      </w:r>
      <w:r>
        <w:rPr>
          <w:rFonts w:hint="eastAsia"/>
        </w:rPr>
        <w:t>4</w:t>
      </w:r>
      <w:r>
        <w:t>年</w:t>
      </w:r>
      <w:r>
        <w:rPr>
          <w:rFonts w:hint="eastAsia"/>
        </w:rPr>
        <w:t>7</w:t>
      </w:r>
      <w:r>
        <w:t>月</w:t>
      </w:r>
      <w:r>
        <w:rPr>
          <w:rFonts w:hint="eastAsia"/>
        </w:rPr>
        <w:t>23</w:t>
      </w:r>
      <w:r>
        <w:t>日</w:t>
      </w:r>
      <w:r>
        <w:rPr>
          <w:rFonts w:hint="eastAsia"/>
        </w:rPr>
        <w:t>。</w:t>
      </w:r>
    </w:p>
  </w:footnote>
  <w:footnote w:id="7">
    <w:p w14:paraId="309F0580" w14:textId="77777777" w:rsidR="008810A2" w:rsidRDefault="00D921E0">
      <w:pPr>
        <w:pStyle w:val="afc"/>
      </w:pPr>
      <w:r>
        <w:rPr>
          <w:rStyle w:val="affe"/>
        </w:rPr>
        <w:footnoteRef/>
      </w:r>
      <w:r>
        <w:t xml:space="preserve"> </w:t>
      </w:r>
      <w:r>
        <w:rPr>
          <w:rFonts w:hint="eastAsia"/>
        </w:rPr>
        <w:t>此处</w:t>
      </w:r>
      <w:r>
        <w:rPr>
          <w:rFonts w:ascii="timesnewroman" w:hAnsi="timesnewroman" w:hint="eastAsia"/>
          <w:color w:val="000000" w:themeColor="text1"/>
          <w:szCs w:val="21"/>
        </w:rPr>
        <w:t>IPv6</w:t>
      </w:r>
      <w:r>
        <w:rPr>
          <w:rFonts w:ascii="timesnewroman" w:hAnsi="timesnewroman" w:hint="eastAsia"/>
          <w:color w:val="000000" w:themeColor="text1"/>
          <w:szCs w:val="21"/>
        </w:rPr>
        <w:t>活跃用户数</w:t>
      </w:r>
      <w:r>
        <w:rPr>
          <w:rFonts w:hint="eastAsia"/>
        </w:rPr>
        <w:t>取值为截至</w:t>
      </w:r>
      <w:r>
        <w:rPr>
          <w:rFonts w:hint="eastAsia"/>
        </w:rPr>
        <w:t>2024</w:t>
      </w:r>
      <w:r>
        <w:rPr>
          <w:rFonts w:hint="eastAsia"/>
        </w:rPr>
        <w:t>年</w:t>
      </w:r>
      <w:r>
        <w:rPr>
          <w:rFonts w:hint="eastAsia"/>
          <w:color w:val="000000"/>
        </w:rPr>
        <w:t>5</w:t>
      </w:r>
      <w:r>
        <w:rPr>
          <w:rFonts w:hint="eastAsia"/>
          <w:color w:val="000000"/>
        </w:rPr>
        <w:t>月底数据。</w:t>
      </w:r>
    </w:p>
  </w:footnote>
  <w:footnote w:id="8">
    <w:p w14:paraId="5FA2CE66" w14:textId="77777777" w:rsidR="008810A2" w:rsidRDefault="00D921E0">
      <w:pPr>
        <w:pStyle w:val="afc"/>
      </w:pPr>
      <w:r>
        <w:rPr>
          <w:rStyle w:val="affe"/>
        </w:rPr>
        <w:footnoteRef/>
      </w:r>
      <w:r>
        <w:t xml:space="preserve"> </w:t>
      </w:r>
      <w:r>
        <w:t>数据均</w:t>
      </w:r>
      <w:r>
        <w:rPr>
          <w:rFonts w:hint="eastAsia"/>
        </w:rPr>
        <w:t>含</w:t>
      </w:r>
      <w:r>
        <w:t>港、</w:t>
      </w:r>
      <w:r>
        <w:rPr>
          <w:rFonts w:hint="eastAsia"/>
        </w:rPr>
        <w:t>澳</w:t>
      </w:r>
      <w:r>
        <w:t>、台地区。</w:t>
      </w:r>
    </w:p>
  </w:footnote>
  <w:footnote w:id="9">
    <w:p w14:paraId="03D5032A" w14:textId="77777777" w:rsidR="008810A2" w:rsidRDefault="00D921E0">
      <w:pPr>
        <w:pStyle w:val="afc"/>
      </w:pPr>
      <w:r>
        <w:rPr>
          <w:rStyle w:val="affe"/>
        </w:rPr>
        <w:footnoteRef/>
      </w:r>
      <w:r>
        <w:t xml:space="preserve"> </w:t>
      </w:r>
      <w:r>
        <w:t>数据均</w:t>
      </w:r>
      <w:r>
        <w:rPr>
          <w:rFonts w:hint="eastAsia"/>
        </w:rPr>
        <w:t>含</w:t>
      </w:r>
      <w:r>
        <w:t>港、</w:t>
      </w:r>
      <w:r>
        <w:rPr>
          <w:rFonts w:hint="eastAsia"/>
        </w:rPr>
        <w:t>澳</w:t>
      </w:r>
      <w:r>
        <w:t>、台地区。</w:t>
      </w:r>
    </w:p>
  </w:footnote>
  <w:footnote w:id="10">
    <w:p w14:paraId="1DE70926" w14:textId="77777777" w:rsidR="008810A2" w:rsidRDefault="00D921E0">
      <w:pPr>
        <w:pStyle w:val="afc"/>
      </w:pPr>
      <w:r>
        <w:rPr>
          <w:rStyle w:val="affe"/>
        </w:rPr>
        <w:footnoteRef/>
      </w:r>
      <w:r>
        <w:t xml:space="preserve"> </w:t>
      </w:r>
      <w:r>
        <w:t>其他：包含</w:t>
      </w:r>
      <w:r>
        <w:rPr>
          <w:rFonts w:ascii="宋体" w:hAnsi="宋体"/>
        </w:rPr>
        <w:t>“</w:t>
      </w:r>
      <w:r>
        <w:t>.BIZ</w:t>
      </w:r>
      <w:r>
        <w:rPr>
          <w:rFonts w:ascii="宋体" w:hAnsi="宋体"/>
        </w:rPr>
        <w:t>”“</w:t>
      </w:r>
      <w:r>
        <w:t>.CO</w:t>
      </w:r>
      <w:r>
        <w:rPr>
          <w:rFonts w:ascii="宋体" w:hAnsi="宋体"/>
        </w:rPr>
        <w:t>”“</w:t>
      </w:r>
      <w:r>
        <w:t>.TV</w:t>
      </w:r>
      <w:r>
        <w:rPr>
          <w:rFonts w:ascii="宋体" w:hAnsi="宋体"/>
        </w:rPr>
        <w:t>”“</w:t>
      </w:r>
      <w:r>
        <w:t>.CC</w:t>
      </w:r>
      <w:r>
        <w:rPr>
          <w:rFonts w:ascii="宋体" w:hAnsi="宋体"/>
        </w:rPr>
        <w:t>”“</w:t>
      </w:r>
      <w:r>
        <w:t>.ME</w:t>
      </w:r>
      <w:r>
        <w:rPr>
          <w:rFonts w:ascii="宋体" w:hAnsi="宋体"/>
        </w:rPr>
        <w:t>”“</w:t>
      </w:r>
      <w:r>
        <w:t>.HK</w:t>
      </w:r>
      <w:r>
        <w:rPr>
          <w:rFonts w:ascii="宋体" w:hAnsi="宋体"/>
        </w:rPr>
        <w:t>”</w:t>
      </w:r>
      <w:r>
        <w:t>和</w:t>
      </w:r>
      <w:r>
        <w:rPr>
          <w:rFonts w:ascii="宋体" w:hAnsi="宋体"/>
        </w:rPr>
        <w:t>“</w:t>
      </w:r>
      <w:r>
        <w:t>.PW</w:t>
      </w:r>
      <w:r>
        <w:rPr>
          <w:rFonts w:ascii="宋体" w:hAnsi="宋体"/>
        </w:rPr>
        <w:t>”</w:t>
      </w:r>
      <w:r>
        <w:t>等域名。</w:t>
      </w:r>
    </w:p>
  </w:footnote>
  <w:footnote w:id="11">
    <w:p w14:paraId="4356B4B2" w14:textId="77777777" w:rsidR="008810A2" w:rsidRDefault="00D921E0">
      <w:pPr>
        <w:pStyle w:val="afc"/>
      </w:pPr>
      <w:r>
        <w:rPr>
          <w:rStyle w:val="affe"/>
        </w:rPr>
        <w:footnoteRef/>
      </w:r>
      <w:r>
        <w:t xml:space="preserve"> </w:t>
      </w:r>
      <w:r>
        <w:t>此处</w:t>
      </w:r>
      <w:r>
        <w:rPr>
          <w:rFonts w:ascii="宋体" w:hAnsi="宋体"/>
        </w:rPr>
        <w:t>“</w:t>
      </w:r>
      <w:r>
        <w:t>.CN</w:t>
      </w:r>
      <w:r>
        <w:rPr>
          <w:rFonts w:ascii="宋体" w:hAnsi="宋体"/>
        </w:rPr>
        <w:t>”</w:t>
      </w:r>
      <w:r>
        <w:t>为</w:t>
      </w:r>
      <w:r>
        <w:rPr>
          <w:rFonts w:ascii="宋体" w:hAnsi="宋体"/>
        </w:rPr>
        <w:t>“</w:t>
      </w:r>
      <w:r>
        <w:t>.CN</w:t>
      </w:r>
      <w:r>
        <w:rPr>
          <w:rFonts w:ascii="宋体" w:hAnsi="宋体"/>
        </w:rPr>
        <w:t>”</w:t>
      </w:r>
      <w:r>
        <w:rPr>
          <w:caps/>
          <w:color w:val="000000" w:themeColor="text1"/>
        </w:rPr>
        <w:t>下直接注册的二级域名。</w:t>
      </w:r>
    </w:p>
  </w:footnote>
  <w:footnote w:id="12">
    <w:p w14:paraId="705EEBD9" w14:textId="77777777" w:rsidR="008810A2" w:rsidRDefault="00D921E0">
      <w:pPr>
        <w:pStyle w:val="afc"/>
      </w:pPr>
      <w:r>
        <w:rPr>
          <w:rStyle w:val="affe"/>
        </w:rPr>
        <w:footnoteRef/>
      </w:r>
      <w:r>
        <w:t xml:space="preserve"> .</w:t>
      </w:r>
      <w:r>
        <w:rPr>
          <w:caps/>
          <w:color w:val="000000" w:themeColor="text1"/>
        </w:rPr>
        <w:t>adm.CN</w:t>
      </w:r>
      <w:r>
        <w:rPr>
          <w:caps/>
          <w:color w:val="000000" w:themeColor="text1"/>
        </w:rPr>
        <w:t>：</w:t>
      </w:r>
      <w:r>
        <w:t>虚拟二级域名，是对</w:t>
      </w:r>
      <w:r>
        <w:rPr>
          <w:rFonts w:ascii="宋体" w:hAnsi="宋体"/>
        </w:rPr>
        <w:t>“</w:t>
      </w:r>
      <w:r>
        <w:t>.CN</w:t>
      </w:r>
      <w:r>
        <w:rPr>
          <w:rFonts w:ascii="宋体" w:hAnsi="宋体"/>
        </w:rPr>
        <w:t>”</w:t>
      </w:r>
      <w:r>
        <w:t>下所有行政区域名（二级域名）的合称。</w:t>
      </w:r>
    </w:p>
  </w:footnote>
  <w:footnote w:id="13">
    <w:p w14:paraId="048AE636" w14:textId="77777777" w:rsidR="008810A2" w:rsidRDefault="00D921E0">
      <w:pPr>
        <w:pStyle w:val="afc"/>
      </w:pPr>
      <w:r>
        <w:rPr>
          <w:rStyle w:val="affe"/>
        </w:rPr>
        <w:footnoteRef/>
      </w:r>
      <w:r>
        <w:t xml:space="preserve"> </w:t>
      </w:r>
      <w:r>
        <w:rPr>
          <w:rFonts w:hint="eastAsia"/>
        </w:rPr>
        <w:t>网站：指域名注册者在中国境内的网站。</w:t>
      </w:r>
    </w:p>
  </w:footnote>
  <w:footnote w:id="14">
    <w:p w14:paraId="5FAE5B30" w14:textId="77777777" w:rsidR="008810A2" w:rsidRDefault="00D921E0">
      <w:pPr>
        <w:pStyle w:val="afc"/>
      </w:pPr>
      <w:r>
        <w:rPr>
          <w:rStyle w:val="affe"/>
        </w:rPr>
        <w:footnoteRef/>
      </w:r>
      <w:r>
        <w:t xml:space="preserve"> </w:t>
      </w:r>
      <w:r>
        <w:rPr>
          <w:rFonts w:hint="eastAsia"/>
        </w:rPr>
        <w:t>人均每周</w:t>
      </w:r>
      <w:r>
        <w:t>上网时长</w:t>
      </w:r>
      <w:r>
        <w:rPr>
          <w:rFonts w:hint="eastAsia"/>
        </w:rPr>
        <w:t>：</w:t>
      </w:r>
      <w:r>
        <w:t>指</w:t>
      </w:r>
      <w:r>
        <w:rPr>
          <w:rFonts w:hint="eastAsia"/>
        </w:rPr>
        <w:t>过去</w:t>
      </w:r>
      <w:r>
        <w:t>半年</w:t>
      </w:r>
      <w:r>
        <w:rPr>
          <w:rFonts w:hint="eastAsia"/>
        </w:rPr>
        <w:t>内</w:t>
      </w:r>
      <w:r>
        <w:t>，</w:t>
      </w:r>
      <w:r>
        <w:rPr>
          <w:rFonts w:hint="eastAsia"/>
        </w:rPr>
        <w:t>网民一周</w:t>
      </w:r>
      <w:r>
        <w:t>七天平均</w:t>
      </w:r>
      <w:r>
        <w:rPr>
          <w:rFonts w:hint="eastAsia"/>
        </w:rPr>
        <w:t>每天</w:t>
      </w:r>
      <w:r>
        <w:t>上网</w:t>
      </w:r>
      <w:r>
        <w:rPr>
          <w:rFonts w:hint="eastAsia"/>
        </w:rPr>
        <w:t>的</w:t>
      </w:r>
      <w:r>
        <w:t>小时数</w:t>
      </w:r>
      <w:r>
        <w:rPr>
          <w:rFonts w:hint="eastAsia"/>
        </w:rPr>
        <w:t>乘以</w:t>
      </w:r>
      <w:r>
        <w:t>7</w:t>
      </w:r>
      <w:r>
        <w:rPr>
          <w:rFonts w:hint="eastAsia"/>
        </w:rPr>
        <w:t>天</w:t>
      </w:r>
      <w:r>
        <w:t>。</w:t>
      </w:r>
    </w:p>
  </w:footnote>
  <w:footnote w:id="15">
    <w:p w14:paraId="3EED3BC5" w14:textId="77777777" w:rsidR="008810A2" w:rsidRDefault="00D921E0">
      <w:pPr>
        <w:pStyle w:val="afc"/>
      </w:pPr>
      <w:r>
        <w:rPr>
          <w:rStyle w:val="affe"/>
        </w:rPr>
        <w:footnoteRef/>
      </w:r>
      <w:r>
        <w:t xml:space="preserve"> </w:t>
      </w:r>
      <w:r>
        <w:rPr>
          <w:rFonts w:hint="eastAsia"/>
        </w:rPr>
        <w:t>使用时段分布</w:t>
      </w:r>
      <w:r>
        <w:t>：</w:t>
      </w:r>
      <w:r>
        <w:rPr>
          <w:rFonts w:hint="eastAsia"/>
        </w:rPr>
        <w:t>指各类</w:t>
      </w:r>
      <w:r>
        <w:t>App</w:t>
      </w:r>
      <w:r>
        <w:rPr>
          <w:rFonts w:hint="eastAsia"/>
        </w:rPr>
        <w:t>使用时长的时间段分布。例如：用户在</w:t>
      </w:r>
      <w:r>
        <w:rPr>
          <w:rFonts w:hint="eastAsia"/>
        </w:rPr>
        <w:t>6</w:t>
      </w:r>
      <w:r>
        <w:rPr>
          <w:rFonts w:hint="eastAsia"/>
        </w:rPr>
        <w:t>点到</w:t>
      </w:r>
      <w:r>
        <w:rPr>
          <w:rFonts w:hint="eastAsia"/>
        </w:rPr>
        <w:t>7</w:t>
      </w:r>
      <w:r>
        <w:rPr>
          <w:rFonts w:hint="eastAsia"/>
        </w:rPr>
        <w:t>点间使用即时通信类应用的时长为</w:t>
      </w:r>
      <w:r>
        <w:rPr>
          <w:rFonts w:hint="eastAsia"/>
        </w:rPr>
        <w:t>15</w:t>
      </w:r>
      <w:r>
        <w:rPr>
          <w:rFonts w:hint="eastAsia"/>
        </w:rPr>
        <w:t>分钟即</w:t>
      </w:r>
      <w:r>
        <w:rPr>
          <w:rFonts w:hint="eastAsia"/>
        </w:rPr>
        <w:t>0.25</w:t>
      </w:r>
      <w:r>
        <w:rPr>
          <w:rFonts w:hint="eastAsia"/>
        </w:rPr>
        <w:t>小时，全天使用即时通信类应用的时长为</w:t>
      </w:r>
      <w:r>
        <w:rPr>
          <w:rFonts w:hint="eastAsia"/>
        </w:rPr>
        <w:t>4</w:t>
      </w:r>
      <w:r>
        <w:rPr>
          <w:rFonts w:hint="eastAsia"/>
        </w:rPr>
        <w:t>小时，计算方法即为</w:t>
      </w:r>
      <w:r>
        <w:rPr>
          <w:rFonts w:hint="eastAsia"/>
        </w:rPr>
        <w:t>0.25/4</w:t>
      </w:r>
      <w:r>
        <w:rPr>
          <w:rFonts w:hint="eastAsia"/>
        </w:rPr>
        <w:t>。</w:t>
      </w:r>
    </w:p>
  </w:footnote>
  <w:footnote w:id="16">
    <w:p w14:paraId="2E1ACDA8" w14:textId="77777777" w:rsidR="008810A2" w:rsidRDefault="00D921E0">
      <w:pPr>
        <w:pStyle w:val="afc"/>
      </w:pPr>
      <w:r>
        <w:rPr>
          <w:rStyle w:val="affe"/>
        </w:rPr>
        <w:footnoteRef/>
      </w:r>
      <w:r>
        <w:t xml:space="preserve"> </w:t>
      </w:r>
      <w:r>
        <w:rPr>
          <w:rFonts w:hint="eastAsia"/>
        </w:rPr>
        <w:t>来源：工业和信息化部，</w:t>
      </w:r>
      <w:r>
        <w:t>https://www.miit.gov.cn/jgsj/yxj/xxfb/art/2024/art_df19d637e3644b468c04e028d4b05651.html</w:t>
      </w:r>
      <w:r>
        <w:rPr>
          <w:rFonts w:hint="eastAsia"/>
        </w:rPr>
        <w:t>，</w:t>
      </w:r>
      <w:r>
        <w:rPr>
          <w:rFonts w:hint="eastAsia"/>
        </w:rPr>
        <w:t>2024</w:t>
      </w:r>
      <w:r>
        <w:rPr>
          <w:rFonts w:hint="eastAsia"/>
        </w:rPr>
        <w:t>年</w:t>
      </w:r>
      <w:r>
        <w:rPr>
          <w:rFonts w:hint="eastAsia"/>
        </w:rPr>
        <w:t>7</w:t>
      </w:r>
      <w:r>
        <w:rPr>
          <w:rFonts w:hint="eastAsia"/>
        </w:rPr>
        <w:t>月</w:t>
      </w:r>
      <w:r>
        <w:rPr>
          <w:rFonts w:hint="eastAsia"/>
        </w:rPr>
        <w:t>23</w:t>
      </w:r>
      <w:r>
        <w:rPr>
          <w:rFonts w:hint="eastAsia"/>
        </w:rPr>
        <w:t>日。</w:t>
      </w:r>
    </w:p>
  </w:footnote>
  <w:footnote w:id="17">
    <w:p w14:paraId="55507EBF" w14:textId="77777777" w:rsidR="008810A2" w:rsidRDefault="00D921E0">
      <w:pPr>
        <w:pStyle w:val="afc"/>
      </w:pPr>
      <w:r>
        <w:rPr>
          <w:rStyle w:val="affe"/>
        </w:rPr>
        <w:footnoteRef/>
      </w:r>
      <w:r>
        <w:t xml:space="preserve"> </w:t>
      </w:r>
      <w:r>
        <w:rPr>
          <w:rFonts w:hint="eastAsia"/>
        </w:rPr>
        <w:t>来源：工业和信息化部。</w:t>
      </w:r>
    </w:p>
  </w:footnote>
  <w:footnote w:id="18">
    <w:p w14:paraId="0C1B41A0" w14:textId="77777777" w:rsidR="008810A2" w:rsidRDefault="00D921E0">
      <w:pPr>
        <w:pStyle w:val="afc"/>
      </w:pPr>
      <w:r>
        <w:rPr>
          <w:rStyle w:val="affe"/>
        </w:rPr>
        <w:footnoteRef/>
      </w:r>
      <w:r>
        <w:t xml:space="preserve"> </w:t>
      </w:r>
      <w:r>
        <w:rPr>
          <w:rFonts w:hint="eastAsia"/>
        </w:rPr>
        <w:t>来源：工业和信息化部，</w:t>
      </w:r>
      <w:r>
        <w:t>https://www.miit.gov.cn/jgsj/yxj/xxfb/art/2024/art_df19d637e3644b468c04e028d4b05651.html</w:t>
      </w:r>
      <w:r>
        <w:rPr>
          <w:rFonts w:hint="eastAsia"/>
        </w:rPr>
        <w:t>，</w:t>
      </w:r>
      <w:r>
        <w:rPr>
          <w:rFonts w:hint="eastAsia"/>
        </w:rPr>
        <w:t>2024</w:t>
      </w:r>
      <w:r>
        <w:rPr>
          <w:rFonts w:hint="eastAsia"/>
        </w:rPr>
        <w:t>年</w:t>
      </w:r>
      <w:r>
        <w:rPr>
          <w:rFonts w:hint="eastAsia"/>
        </w:rPr>
        <w:t>7</w:t>
      </w:r>
      <w:r>
        <w:rPr>
          <w:rFonts w:hint="eastAsia"/>
        </w:rPr>
        <w:t>月</w:t>
      </w:r>
      <w:r>
        <w:rPr>
          <w:rFonts w:hint="eastAsia"/>
        </w:rPr>
        <w:t>23</w:t>
      </w:r>
      <w:r>
        <w:rPr>
          <w:rFonts w:hint="eastAsia"/>
        </w:rPr>
        <w:t>日。</w:t>
      </w:r>
    </w:p>
  </w:footnote>
  <w:footnote w:id="19">
    <w:p w14:paraId="0CB1619B" w14:textId="77777777" w:rsidR="008810A2" w:rsidRDefault="00D921E0">
      <w:pPr>
        <w:pStyle w:val="afc"/>
      </w:pPr>
      <w:r>
        <w:rPr>
          <w:rStyle w:val="affe"/>
        </w:rPr>
        <w:footnoteRef/>
      </w:r>
      <w:r>
        <w:t xml:space="preserve"> </w:t>
      </w:r>
      <w:r>
        <w:rPr>
          <w:rFonts w:hint="eastAsia"/>
        </w:rPr>
        <w:t>来源：工业和信息化部关于</w:t>
      </w:r>
      <w:r>
        <w:rPr>
          <w:rFonts w:hint="eastAsia"/>
        </w:rPr>
        <w:t>2024</w:t>
      </w:r>
      <w:r>
        <w:rPr>
          <w:rFonts w:hint="eastAsia"/>
        </w:rPr>
        <w:t>年第二季度电信服务质量的通告，</w:t>
      </w:r>
      <w:r>
        <w:t>https://wap.miit.gov.cn/jgsj/xgj/fwjd/art/2024/art_f46c68f87285418aa187b5838bd1e859.html</w:t>
      </w:r>
      <w:r>
        <w:t>，</w:t>
      </w:r>
      <w:r>
        <w:rPr>
          <w:rFonts w:hint="eastAsia"/>
        </w:rPr>
        <w:t>2</w:t>
      </w:r>
      <w:r>
        <w:t>024</w:t>
      </w:r>
      <w:r>
        <w:t>年</w:t>
      </w:r>
      <w:r>
        <w:rPr>
          <w:rFonts w:hint="eastAsia"/>
        </w:rPr>
        <w:t>8</w:t>
      </w:r>
      <w:r>
        <w:t>月</w:t>
      </w:r>
      <w:r>
        <w:rPr>
          <w:rFonts w:hint="eastAsia"/>
        </w:rPr>
        <w:t>1</w:t>
      </w:r>
      <w:r>
        <w:rPr>
          <w:rFonts w:hint="eastAsia"/>
        </w:rPr>
        <w:t>日。</w:t>
      </w:r>
    </w:p>
  </w:footnote>
  <w:footnote w:id="20">
    <w:p w14:paraId="0BFA3FEB" w14:textId="77777777" w:rsidR="008810A2" w:rsidRDefault="00D921E0">
      <w:pPr>
        <w:pStyle w:val="afc"/>
      </w:pPr>
      <w:r>
        <w:rPr>
          <w:rStyle w:val="affe"/>
        </w:rPr>
        <w:footnoteRef/>
      </w:r>
      <w:r>
        <w:t xml:space="preserve"> </w:t>
      </w:r>
      <w:r>
        <w:rPr>
          <w:rFonts w:hint="eastAsia"/>
        </w:rPr>
        <w:t>说明：我国城镇网民规模达</w:t>
      </w:r>
      <w:r>
        <w:rPr>
          <w:rFonts w:hint="eastAsia"/>
        </w:rPr>
        <w:t>79522</w:t>
      </w:r>
      <w:r>
        <w:rPr>
          <w:rFonts w:hint="eastAsia"/>
        </w:rPr>
        <w:t>万人，农村网民规模达</w:t>
      </w:r>
      <w:r>
        <w:rPr>
          <w:rFonts w:hint="eastAsia"/>
        </w:rPr>
        <w:t>30445</w:t>
      </w:r>
      <w:r>
        <w:rPr>
          <w:rFonts w:hint="eastAsia"/>
        </w:rPr>
        <w:t>万人。</w:t>
      </w:r>
    </w:p>
  </w:footnote>
  <w:footnote w:id="21">
    <w:p w14:paraId="1A72CE39" w14:textId="77777777" w:rsidR="008810A2" w:rsidRDefault="00D921E0">
      <w:pPr>
        <w:pStyle w:val="afc"/>
      </w:pPr>
      <w:r>
        <w:rPr>
          <w:rStyle w:val="affe"/>
        </w:rPr>
        <w:footnoteRef/>
      </w:r>
      <w:r>
        <w:t xml:space="preserve"> </w:t>
      </w:r>
      <w:r>
        <w:rPr>
          <w:rFonts w:hint="eastAsia"/>
        </w:rPr>
        <w:t>来源：工业和信息化部，</w:t>
      </w:r>
      <w:r>
        <w:rPr>
          <w:rFonts w:hint="eastAsia"/>
        </w:rPr>
        <w:t>https://wap.miit.gov.cn/zwgk/wjgs/art/2024/art_21f60a921d51462faf5a5e2f6032c3d7.html</w:t>
      </w:r>
      <w:r>
        <w:rPr>
          <w:rFonts w:hint="eastAsia"/>
        </w:rPr>
        <w:t>，</w:t>
      </w:r>
      <w:r>
        <w:rPr>
          <w:rFonts w:hint="eastAsia"/>
        </w:rPr>
        <w:t>2024</w:t>
      </w:r>
      <w:r>
        <w:rPr>
          <w:rFonts w:hint="eastAsia"/>
        </w:rPr>
        <w:t>年</w:t>
      </w:r>
      <w:r>
        <w:rPr>
          <w:rFonts w:hint="eastAsia"/>
        </w:rPr>
        <w:t>1</w:t>
      </w:r>
      <w:r>
        <w:rPr>
          <w:rFonts w:hint="eastAsia"/>
        </w:rPr>
        <w:t>月</w:t>
      </w:r>
      <w:r>
        <w:rPr>
          <w:rFonts w:hint="eastAsia"/>
        </w:rPr>
        <w:t>9</w:t>
      </w:r>
      <w:r>
        <w:rPr>
          <w:rFonts w:hint="eastAsia"/>
        </w:rPr>
        <w:t>日。</w:t>
      </w:r>
    </w:p>
  </w:footnote>
  <w:footnote w:id="22">
    <w:p w14:paraId="415E2EDC" w14:textId="77777777" w:rsidR="008810A2" w:rsidRDefault="00D921E0">
      <w:pPr>
        <w:pStyle w:val="afc"/>
      </w:pPr>
      <w:r>
        <w:rPr>
          <w:rStyle w:val="affe"/>
        </w:rPr>
        <w:footnoteRef/>
      </w:r>
      <w:r>
        <w:t xml:space="preserve"> </w:t>
      </w:r>
      <w:r>
        <w:rPr>
          <w:rFonts w:hint="eastAsia"/>
        </w:rPr>
        <w:t>来源：国家卫生健康委员会，</w:t>
      </w:r>
      <w:r>
        <w:rPr>
          <w:rFonts w:hint="eastAsia"/>
        </w:rPr>
        <w:t>http://www.nhc.gov.cn/xcs/s3574/202405/f113e9f9f6c3496d97f12c90fa5927b6.shtml</w:t>
      </w:r>
      <w:r>
        <w:rPr>
          <w:rFonts w:hint="eastAsia"/>
        </w:rPr>
        <w:t>，</w:t>
      </w:r>
      <w:r>
        <w:rPr>
          <w:rFonts w:hint="eastAsia"/>
        </w:rPr>
        <w:t>2024</w:t>
      </w:r>
      <w:r>
        <w:rPr>
          <w:rFonts w:hint="eastAsia"/>
        </w:rPr>
        <w:t>年</w:t>
      </w:r>
      <w:r>
        <w:rPr>
          <w:rFonts w:hint="eastAsia"/>
        </w:rPr>
        <w:t>5</w:t>
      </w:r>
      <w:r>
        <w:rPr>
          <w:rFonts w:hint="eastAsia"/>
        </w:rPr>
        <w:t>月</w:t>
      </w:r>
      <w:r>
        <w:rPr>
          <w:rFonts w:hint="eastAsia"/>
        </w:rPr>
        <w:t>16</w:t>
      </w:r>
      <w:r>
        <w:rPr>
          <w:rFonts w:hint="eastAsia"/>
        </w:rPr>
        <w:t>日。</w:t>
      </w:r>
    </w:p>
  </w:footnote>
  <w:footnote w:id="23">
    <w:p w14:paraId="553872B5" w14:textId="77777777" w:rsidR="008810A2" w:rsidRDefault="00D921E0">
      <w:pPr>
        <w:pStyle w:val="afc"/>
      </w:pPr>
      <w:r>
        <w:rPr>
          <w:rStyle w:val="affe"/>
        </w:rPr>
        <w:footnoteRef/>
      </w:r>
      <w:r>
        <w:t xml:space="preserve"> </w:t>
      </w:r>
      <w:r>
        <w:rPr>
          <w:rFonts w:hint="eastAsia"/>
        </w:rPr>
        <w:t>说明：根据中央网络安全和信息化委员会《提升全民数字素养与技能行动纲要》，</w:t>
      </w:r>
      <w:r>
        <w:t>数字素养与技能是数字社会公民学习工作生活应具备的数字获取、制作、使用、评价、交互、分享、创新、安全保障、伦理道德等一系列素质与能力的集合</w:t>
      </w:r>
      <w:r>
        <w:rPr>
          <w:rFonts w:hint="eastAsia"/>
        </w:rPr>
        <w:t>。</w:t>
      </w:r>
    </w:p>
  </w:footnote>
  <w:footnote w:id="24">
    <w:p w14:paraId="719559D9" w14:textId="77777777" w:rsidR="008810A2" w:rsidRDefault="00D921E0">
      <w:pPr>
        <w:pStyle w:val="afc"/>
      </w:pPr>
      <w:r>
        <w:rPr>
          <w:rStyle w:val="affe"/>
        </w:rPr>
        <w:footnoteRef/>
      </w:r>
      <w:r>
        <w:t xml:space="preserve"> </w:t>
      </w:r>
      <w:r>
        <w:rPr>
          <w:rFonts w:hint="eastAsia"/>
        </w:rPr>
        <w:t>来源：人民网，</w:t>
      </w:r>
      <w:r>
        <w:t>http://edu.people.com.cn/n1/2024/0607/c1006-40252266.html</w:t>
      </w:r>
      <w:r>
        <w:rPr>
          <w:rFonts w:hint="eastAsia"/>
        </w:rPr>
        <w:t>，</w:t>
      </w:r>
      <w:r>
        <w:rPr>
          <w:rFonts w:hint="eastAsia"/>
        </w:rPr>
        <w:t>2024</w:t>
      </w:r>
      <w:r>
        <w:rPr>
          <w:rFonts w:hint="eastAsia"/>
        </w:rPr>
        <w:t>年</w:t>
      </w:r>
      <w:r>
        <w:rPr>
          <w:rFonts w:hint="eastAsia"/>
        </w:rPr>
        <w:t>6</w:t>
      </w:r>
      <w:r>
        <w:rPr>
          <w:rFonts w:hint="eastAsia"/>
        </w:rPr>
        <w:t>月</w:t>
      </w:r>
      <w:r>
        <w:rPr>
          <w:rFonts w:hint="eastAsia"/>
        </w:rPr>
        <w:t>7</w:t>
      </w:r>
      <w:r>
        <w:rPr>
          <w:rFonts w:hint="eastAsia"/>
        </w:rPr>
        <w:t>日。</w:t>
      </w:r>
    </w:p>
  </w:footnote>
  <w:footnote w:id="25">
    <w:p w14:paraId="09A4E0B5" w14:textId="77777777" w:rsidR="008810A2" w:rsidRDefault="00D921E0">
      <w:pPr>
        <w:pStyle w:val="afc"/>
      </w:pPr>
      <w:r>
        <w:rPr>
          <w:rStyle w:val="affe"/>
        </w:rPr>
        <w:footnoteRef/>
      </w:r>
      <w:r>
        <w:t xml:space="preserve"> </w:t>
      </w:r>
      <w:r>
        <w:rPr>
          <w:rFonts w:hint="eastAsia"/>
        </w:rPr>
        <w:t>来源：湖南省人民政府网，</w:t>
      </w:r>
      <w:r>
        <w:t>https://www.hunan.gov.cn/hnszf/hnyw/zwdt/202406/t20240604_33319253.html</w:t>
      </w:r>
      <w:r>
        <w:t>，</w:t>
      </w:r>
      <w:r>
        <w:rPr>
          <w:rFonts w:hint="eastAsia"/>
        </w:rPr>
        <w:t>2024</w:t>
      </w:r>
      <w:r>
        <w:t>年</w:t>
      </w:r>
      <w:r>
        <w:rPr>
          <w:rFonts w:hint="eastAsia"/>
        </w:rPr>
        <w:t>6</w:t>
      </w:r>
      <w:r>
        <w:t>月</w:t>
      </w:r>
      <w:r>
        <w:rPr>
          <w:rFonts w:hint="eastAsia"/>
        </w:rPr>
        <w:t>4</w:t>
      </w:r>
      <w:r>
        <w:rPr>
          <w:rFonts w:hint="eastAsia"/>
        </w:rPr>
        <w:t>日。</w:t>
      </w:r>
    </w:p>
  </w:footnote>
  <w:footnote w:id="26">
    <w:p w14:paraId="154D316F" w14:textId="77777777" w:rsidR="008810A2" w:rsidRDefault="00D921E0">
      <w:pPr>
        <w:pStyle w:val="afc"/>
      </w:pPr>
      <w:r>
        <w:rPr>
          <w:rStyle w:val="affe"/>
        </w:rPr>
        <w:footnoteRef/>
      </w:r>
      <w:r>
        <w:t xml:space="preserve"> </w:t>
      </w:r>
      <w:r>
        <w:rPr>
          <w:rFonts w:hint="eastAsia"/>
        </w:rPr>
        <w:t>来源：人民网，</w:t>
      </w:r>
      <w:r>
        <w:t>http://finance.people.com.cn/n1/2024/0523/c1004-40242111.html</w:t>
      </w:r>
      <w:r>
        <w:t>，</w:t>
      </w:r>
      <w:r>
        <w:rPr>
          <w:rFonts w:hint="eastAsia"/>
        </w:rPr>
        <w:t>2024</w:t>
      </w:r>
      <w:r>
        <w:t>年</w:t>
      </w:r>
      <w:r>
        <w:rPr>
          <w:rFonts w:hint="eastAsia"/>
        </w:rPr>
        <w:t>5</w:t>
      </w:r>
      <w:r>
        <w:t>月</w:t>
      </w:r>
      <w:r>
        <w:rPr>
          <w:rFonts w:hint="eastAsia"/>
        </w:rPr>
        <w:t>23</w:t>
      </w:r>
      <w:r>
        <w:rPr>
          <w:rFonts w:hint="eastAsia"/>
        </w:rPr>
        <w:t>日。</w:t>
      </w:r>
    </w:p>
  </w:footnote>
  <w:footnote w:id="27">
    <w:p w14:paraId="4D6E3335" w14:textId="77777777" w:rsidR="008810A2" w:rsidRDefault="00D921E0">
      <w:pPr>
        <w:pStyle w:val="afc"/>
      </w:pPr>
      <w:r>
        <w:rPr>
          <w:rStyle w:val="affe"/>
        </w:rPr>
        <w:footnoteRef/>
      </w:r>
      <w:r>
        <w:t xml:space="preserve"> </w:t>
      </w:r>
      <w:r>
        <w:rPr>
          <w:rFonts w:hint="eastAsia"/>
        </w:rPr>
        <w:t>来源：山东省人民政府网，</w:t>
      </w:r>
      <w:r>
        <w:t>http://www.shandong.gov.cn/art/2024/6/14/art_97560_642200.html</w:t>
      </w:r>
      <w:r>
        <w:t>，</w:t>
      </w:r>
      <w:r>
        <w:rPr>
          <w:rFonts w:hint="eastAsia"/>
        </w:rPr>
        <w:t>2024</w:t>
      </w:r>
      <w:r>
        <w:t>年</w:t>
      </w:r>
      <w:r>
        <w:rPr>
          <w:rFonts w:hint="eastAsia"/>
        </w:rPr>
        <w:t>6</w:t>
      </w:r>
      <w:r>
        <w:t>月</w:t>
      </w:r>
      <w:r>
        <w:rPr>
          <w:rFonts w:hint="eastAsia"/>
        </w:rPr>
        <w:t>14</w:t>
      </w:r>
      <w:r>
        <w:rPr>
          <w:rFonts w:hint="eastAsia"/>
        </w:rPr>
        <w:t>日。</w:t>
      </w:r>
    </w:p>
  </w:footnote>
  <w:footnote w:id="28">
    <w:p w14:paraId="17AF67D3" w14:textId="77777777" w:rsidR="008810A2" w:rsidRDefault="00D921E0">
      <w:pPr>
        <w:pStyle w:val="afc"/>
      </w:pPr>
      <w:r>
        <w:rPr>
          <w:rStyle w:val="affe"/>
        </w:rPr>
        <w:footnoteRef/>
      </w:r>
      <w:r>
        <w:t xml:space="preserve"> </w:t>
      </w:r>
      <w:r>
        <w:rPr>
          <w:rFonts w:hint="eastAsia"/>
        </w:rPr>
        <w:t>说明：为了解我国网民数字素养与技能发展情况，中国互联网络信息中心参考国际电信联盟（</w:t>
      </w:r>
      <w:r>
        <w:rPr>
          <w:rFonts w:hint="eastAsia"/>
        </w:rPr>
        <w:t>ITU</w:t>
      </w:r>
      <w:r>
        <w:rPr>
          <w:rFonts w:hint="eastAsia"/>
        </w:rPr>
        <w:t>）相关研究，对网民使用数字产品和服务、创造数字内容、网络安全防护等方面的素质与能力开展统计调查。</w:t>
      </w:r>
    </w:p>
  </w:footnote>
  <w:footnote w:id="29">
    <w:p w14:paraId="3F2ECEE3" w14:textId="77777777" w:rsidR="008810A2" w:rsidRDefault="00D921E0">
      <w:pPr>
        <w:pStyle w:val="afc"/>
      </w:pPr>
      <w:r>
        <w:rPr>
          <w:rStyle w:val="affe"/>
        </w:rPr>
        <w:footnoteRef/>
      </w:r>
      <w:r>
        <w:t xml:space="preserve"> </w:t>
      </w:r>
      <w:r>
        <w:rPr>
          <w:rFonts w:hint="eastAsia"/>
        </w:rPr>
        <w:t>说明：本报告中“掌握”包括“熟练掌握”和“基本掌握”。</w:t>
      </w:r>
    </w:p>
  </w:footnote>
  <w:footnote w:id="30">
    <w:p w14:paraId="01C3AE04" w14:textId="77777777" w:rsidR="008810A2" w:rsidRDefault="00D921E0">
      <w:pPr>
        <w:pStyle w:val="afc"/>
      </w:pPr>
      <w:r>
        <w:rPr>
          <w:rStyle w:val="affe"/>
        </w:rPr>
        <w:footnoteRef/>
      </w:r>
      <w:r>
        <w:t xml:space="preserve"> </w:t>
      </w:r>
      <w:r>
        <w:rPr>
          <w:rFonts w:hint="eastAsia"/>
        </w:rPr>
        <w:t>说明：本报告中至少熟练掌握一种数字素养与技能的网民达到初级水平。</w:t>
      </w:r>
    </w:p>
  </w:footnote>
  <w:footnote w:id="31">
    <w:p w14:paraId="61D24F37" w14:textId="39C7F1F8" w:rsidR="008A57AE" w:rsidRPr="008A57AE" w:rsidRDefault="008A57AE">
      <w:pPr>
        <w:pStyle w:val="afc"/>
      </w:pPr>
      <w:r>
        <w:rPr>
          <w:rStyle w:val="affe"/>
        </w:rPr>
        <w:footnoteRef/>
      </w:r>
      <w:r>
        <w:t xml:space="preserve"> </w:t>
      </w:r>
      <w:r>
        <w:rPr>
          <w:rFonts w:hint="eastAsia"/>
        </w:rPr>
        <w:t>注：</w:t>
      </w:r>
      <w:r>
        <w:rPr>
          <w:rFonts w:hint="eastAsia"/>
        </w:rPr>
        <w:t>2024</w:t>
      </w:r>
      <w:r>
        <w:rPr>
          <w:rFonts w:hint="eastAsia"/>
        </w:rPr>
        <w:t>年</w:t>
      </w:r>
      <w:r>
        <w:rPr>
          <w:rFonts w:hint="eastAsia"/>
        </w:rPr>
        <w:t>6</w:t>
      </w:r>
      <w:r>
        <w:rPr>
          <w:rFonts w:hint="eastAsia"/>
        </w:rPr>
        <w:t>月网络视频用户规模中包含微短剧用户。</w:t>
      </w:r>
    </w:p>
  </w:footnote>
  <w:footnote w:id="32">
    <w:p w14:paraId="4AF770DF" w14:textId="77777777" w:rsidR="008810A2" w:rsidRDefault="00D921E0">
      <w:pPr>
        <w:pStyle w:val="afc"/>
      </w:pPr>
      <w:r>
        <w:rPr>
          <w:rStyle w:val="affe"/>
        </w:rPr>
        <w:footnoteRef/>
      </w:r>
      <w:r>
        <w:t xml:space="preserve"> </w:t>
      </w:r>
      <w:r>
        <w:rPr>
          <w:rFonts w:hint="eastAsia"/>
        </w:rPr>
        <w:t>来源：腾讯</w:t>
      </w:r>
      <w:r>
        <w:rPr>
          <w:rFonts w:hint="eastAsia"/>
        </w:rPr>
        <w:t>2024</w:t>
      </w:r>
      <w:r>
        <w:rPr>
          <w:rFonts w:hint="eastAsia"/>
        </w:rPr>
        <w:t>年第一季度财务报告，</w:t>
      </w:r>
      <w:r>
        <w:t>https://static.www.tencent.com/uploads/2024/05/14/6c813f619346ebb2634fc0693a8f6b81.pdf</w:t>
      </w:r>
      <w:r>
        <w:rPr>
          <w:rFonts w:hint="eastAsia"/>
        </w:rPr>
        <w:t>，</w:t>
      </w:r>
      <w:r>
        <w:rPr>
          <w:rFonts w:hint="eastAsia"/>
        </w:rPr>
        <w:t>2024</w:t>
      </w:r>
      <w:r>
        <w:rPr>
          <w:rFonts w:hint="eastAsia"/>
        </w:rPr>
        <w:t>年</w:t>
      </w:r>
      <w:r>
        <w:rPr>
          <w:rFonts w:hint="eastAsia"/>
        </w:rPr>
        <w:t>5</w:t>
      </w:r>
      <w:r>
        <w:rPr>
          <w:rFonts w:hint="eastAsia"/>
        </w:rPr>
        <w:t>月</w:t>
      </w:r>
      <w:r>
        <w:rPr>
          <w:rFonts w:hint="eastAsia"/>
        </w:rPr>
        <w:t>14</w:t>
      </w:r>
      <w:r>
        <w:rPr>
          <w:rFonts w:hint="eastAsia"/>
        </w:rPr>
        <w:t>日。</w:t>
      </w:r>
    </w:p>
  </w:footnote>
  <w:footnote w:id="33">
    <w:p w14:paraId="11B1F54E" w14:textId="77777777" w:rsidR="008810A2" w:rsidRDefault="00D921E0">
      <w:pPr>
        <w:pStyle w:val="afc"/>
      </w:pPr>
      <w:r>
        <w:rPr>
          <w:rStyle w:val="affe"/>
        </w:rPr>
        <w:footnoteRef/>
      </w:r>
      <w:r>
        <w:t xml:space="preserve"> </w:t>
      </w:r>
      <w:r>
        <w:rPr>
          <w:rFonts w:hint="eastAsia"/>
        </w:rPr>
        <w:t>来源：中国政府网，</w:t>
      </w:r>
      <w:r>
        <w:t>https://www.gov.cn/lianbo/bumen/202402/content_6934394.htm</w:t>
      </w:r>
      <w:r>
        <w:t>，</w:t>
      </w:r>
      <w:r>
        <w:rPr>
          <w:rFonts w:hint="eastAsia"/>
        </w:rPr>
        <w:t>2024</w:t>
      </w:r>
      <w:r>
        <w:t>年</w:t>
      </w:r>
      <w:r>
        <w:rPr>
          <w:rFonts w:hint="eastAsia"/>
        </w:rPr>
        <w:t>2</w:t>
      </w:r>
      <w:r>
        <w:t>月</w:t>
      </w:r>
      <w:r>
        <w:rPr>
          <w:rFonts w:hint="eastAsia"/>
        </w:rPr>
        <w:t>27</w:t>
      </w:r>
      <w:r>
        <w:rPr>
          <w:rFonts w:hint="eastAsia"/>
        </w:rPr>
        <w:t>日。</w:t>
      </w:r>
    </w:p>
  </w:footnote>
  <w:footnote w:id="34">
    <w:p w14:paraId="731C7717" w14:textId="77777777" w:rsidR="008810A2" w:rsidRDefault="00D921E0">
      <w:pPr>
        <w:pStyle w:val="afc"/>
      </w:pPr>
      <w:r>
        <w:rPr>
          <w:rStyle w:val="affe"/>
        </w:rPr>
        <w:footnoteRef/>
      </w:r>
      <w:r>
        <w:t xml:space="preserve"> </w:t>
      </w:r>
      <w:r>
        <w:rPr>
          <w:rFonts w:hint="eastAsia"/>
        </w:rPr>
        <w:t>来源：北京市人民政府新闻办公室，</w:t>
      </w:r>
      <w:r>
        <w:t>https://mp.weixin.qq.com/s?__biz=MzA4NTIyMjMyMw==&amp;mid=2653331496&amp;idx=4&amp;sn=a61a9628c65f4a8c88400fee7e1c3f3d&amp;chksm=85bb1355fc8916e805ef95122759efc8386bf27b52a3d9f8c65208a94a0d514f9f651312f702&amp;scene=27</w:t>
      </w:r>
      <w:r>
        <w:t>，</w:t>
      </w:r>
      <w:r>
        <w:rPr>
          <w:rFonts w:hint="eastAsia"/>
        </w:rPr>
        <w:t>2024</w:t>
      </w:r>
      <w:r>
        <w:t>年</w:t>
      </w:r>
      <w:r>
        <w:rPr>
          <w:rFonts w:hint="eastAsia"/>
        </w:rPr>
        <w:t>7</w:t>
      </w:r>
      <w:r>
        <w:t>月</w:t>
      </w:r>
      <w:r>
        <w:rPr>
          <w:rFonts w:hint="eastAsia"/>
        </w:rPr>
        <w:t>26</w:t>
      </w:r>
      <w:r>
        <w:rPr>
          <w:rFonts w:hint="eastAsia"/>
        </w:rPr>
        <w:t>日。</w:t>
      </w:r>
    </w:p>
  </w:footnote>
  <w:footnote w:id="35">
    <w:p w14:paraId="2611B1AE" w14:textId="77777777" w:rsidR="008810A2" w:rsidRDefault="00D921E0">
      <w:pPr>
        <w:pStyle w:val="afc"/>
      </w:pPr>
      <w:r>
        <w:rPr>
          <w:rStyle w:val="affe"/>
        </w:rPr>
        <w:footnoteRef/>
      </w:r>
      <w:r>
        <w:t xml:space="preserve"> </w:t>
      </w:r>
      <w:r>
        <w:rPr>
          <w:rFonts w:hint="eastAsia"/>
        </w:rPr>
        <w:t>来源：腾讯</w:t>
      </w:r>
      <w:r>
        <w:rPr>
          <w:rFonts w:hint="eastAsia"/>
        </w:rPr>
        <w:t>2024</w:t>
      </w:r>
      <w:r>
        <w:rPr>
          <w:rFonts w:hint="eastAsia"/>
        </w:rPr>
        <w:t>年第一季度财务报告，</w:t>
      </w:r>
      <w:r>
        <w:t>https://static.www.tencent.com/uploads/2024/05/14/6c813f619346ebb2634fc0693a8f6b81.pdf</w:t>
      </w:r>
      <w:r>
        <w:t>，</w:t>
      </w:r>
      <w:r>
        <w:rPr>
          <w:rFonts w:hint="eastAsia"/>
        </w:rPr>
        <w:t>2024</w:t>
      </w:r>
      <w:r>
        <w:t>年</w:t>
      </w:r>
      <w:r>
        <w:rPr>
          <w:rFonts w:hint="eastAsia"/>
        </w:rPr>
        <w:t>5</w:t>
      </w:r>
      <w:r>
        <w:t>月</w:t>
      </w:r>
      <w:r>
        <w:rPr>
          <w:rFonts w:hint="eastAsia"/>
        </w:rPr>
        <w:t>14</w:t>
      </w:r>
      <w:r>
        <w:rPr>
          <w:rFonts w:hint="eastAsia"/>
        </w:rPr>
        <w:t>日。</w:t>
      </w:r>
    </w:p>
  </w:footnote>
  <w:footnote w:id="36">
    <w:p w14:paraId="0FDA31A9" w14:textId="77777777" w:rsidR="008810A2" w:rsidRDefault="00D921E0">
      <w:pPr>
        <w:pStyle w:val="afc"/>
      </w:pPr>
      <w:r>
        <w:rPr>
          <w:rStyle w:val="affe"/>
        </w:rPr>
        <w:footnoteRef/>
      </w:r>
      <w:r>
        <w:t xml:space="preserve"> </w:t>
      </w:r>
      <w:r>
        <w:rPr>
          <w:rFonts w:hint="eastAsia"/>
        </w:rPr>
        <w:t>来源：网易，</w:t>
      </w:r>
      <w:r>
        <w:rPr>
          <w:rFonts w:hint="eastAsia"/>
        </w:rPr>
        <w:t>https://www.163.com/dy/article/J2BFIKRR0519D4UH.html</w:t>
      </w:r>
      <w:r>
        <w:rPr>
          <w:rFonts w:hint="eastAsia"/>
        </w:rPr>
        <w:t>，</w:t>
      </w:r>
      <w:r>
        <w:rPr>
          <w:rFonts w:hint="eastAsia"/>
        </w:rPr>
        <w:t>2024</w:t>
      </w:r>
      <w:r>
        <w:rPr>
          <w:rFonts w:hint="eastAsia"/>
        </w:rPr>
        <w:t>年</w:t>
      </w:r>
      <w:r>
        <w:rPr>
          <w:rFonts w:hint="eastAsia"/>
        </w:rPr>
        <w:t>5</w:t>
      </w:r>
      <w:r>
        <w:rPr>
          <w:rFonts w:hint="eastAsia"/>
        </w:rPr>
        <w:t>月</w:t>
      </w:r>
      <w:r>
        <w:rPr>
          <w:rFonts w:hint="eastAsia"/>
        </w:rPr>
        <w:t>16</w:t>
      </w:r>
      <w:r>
        <w:rPr>
          <w:rFonts w:hint="eastAsia"/>
        </w:rPr>
        <w:t>日。</w:t>
      </w:r>
    </w:p>
  </w:footnote>
  <w:footnote w:id="37">
    <w:p w14:paraId="40AFE4E1" w14:textId="77777777" w:rsidR="008810A2" w:rsidRDefault="00D921E0">
      <w:pPr>
        <w:pStyle w:val="afc"/>
      </w:pPr>
      <w:r>
        <w:rPr>
          <w:rStyle w:val="affe"/>
        </w:rPr>
        <w:footnoteRef/>
      </w:r>
      <w:r>
        <w:t xml:space="preserve"> </w:t>
      </w:r>
      <w:r>
        <w:rPr>
          <w:rFonts w:hint="eastAsia"/>
        </w:rPr>
        <w:t>来源：同上。</w:t>
      </w:r>
    </w:p>
  </w:footnote>
  <w:footnote w:id="38">
    <w:p w14:paraId="36EC6654" w14:textId="77777777" w:rsidR="008810A2" w:rsidRDefault="00D921E0">
      <w:pPr>
        <w:pStyle w:val="afc"/>
      </w:pPr>
      <w:r>
        <w:rPr>
          <w:rStyle w:val="affe"/>
        </w:rPr>
        <w:footnoteRef/>
      </w:r>
      <w:r>
        <w:t xml:space="preserve"> </w:t>
      </w:r>
      <w:r>
        <w:rPr>
          <w:rFonts w:hint="eastAsia"/>
        </w:rPr>
        <w:t>外卡内绑：指支持境外居民将</w:t>
      </w:r>
      <w:r>
        <w:rPr>
          <w:rFonts w:hint="eastAsia"/>
        </w:rPr>
        <w:t>Visa</w:t>
      </w:r>
      <w:r>
        <w:rPr>
          <w:rFonts w:hint="eastAsia"/>
        </w:rPr>
        <w:t>、万事达等主要银行卡组织发行的境外银行卡绑定至境内钱包，实现境外银行卡与境内条码支付的无缝衔接。</w:t>
      </w:r>
    </w:p>
  </w:footnote>
  <w:footnote w:id="39">
    <w:p w14:paraId="261E6F25" w14:textId="77777777" w:rsidR="008810A2" w:rsidRDefault="00D921E0">
      <w:pPr>
        <w:pStyle w:val="afc"/>
      </w:pPr>
      <w:r>
        <w:rPr>
          <w:rStyle w:val="affe"/>
        </w:rPr>
        <w:footnoteRef/>
      </w:r>
      <w:r>
        <w:t xml:space="preserve"> </w:t>
      </w:r>
      <w:r>
        <w:rPr>
          <w:rFonts w:hint="eastAsia"/>
        </w:rPr>
        <w:t>外包内用：指支持境外居民直接使用境外电子钱包向境内商户支付，无需下载境内钱包，让境外人士在境内享受便捷的移动支付。</w:t>
      </w:r>
    </w:p>
  </w:footnote>
  <w:footnote w:id="40">
    <w:p w14:paraId="789AB4FB" w14:textId="77777777" w:rsidR="008810A2" w:rsidRDefault="00D921E0">
      <w:pPr>
        <w:pStyle w:val="afc"/>
      </w:pPr>
      <w:r>
        <w:rPr>
          <w:rStyle w:val="affe"/>
        </w:rPr>
        <w:footnoteRef/>
      </w:r>
      <w:r>
        <w:t xml:space="preserve"> </w:t>
      </w:r>
      <w:r>
        <w:rPr>
          <w:rFonts w:hint="eastAsia"/>
        </w:rPr>
        <w:t>来源：中国人民银行，</w:t>
      </w:r>
      <w:r>
        <w:t>https://mp.weixin.qq.com/s/Ksli_mF9MxqOwz4BOqUhjQ</w:t>
      </w:r>
      <w:r>
        <w:t>，</w:t>
      </w:r>
      <w:r>
        <w:rPr>
          <w:rFonts w:hint="eastAsia"/>
        </w:rPr>
        <w:t>2024</w:t>
      </w:r>
      <w:r>
        <w:t>年</w:t>
      </w:r>
      <w:r>
        <w:t>7</w:t>
      </w:r>
      <w:r>
        <w:t>月</w:t>
      </w:r>
      <w:r>
        <w:t>26</w:t>
      </w:r>
      <w:r>
        <w:rPr>
          <w:rFonts w:hint="eastAsia"/>
        </w:rPr>
        <w:t>日。</w:t>
      </w:r>
    </w:p>
  </w:footnote>
  <w:footnote w:id="41">
    <w:p w14:paraId="621DF984" w14:textId="77777777" w:rsidR="008810A2" w:rsidRDefault="00D921E0">
      <w:pPr>
        <w:pStyle w:val="afc"/>
      </w:pPr>
      <w:r>
        <w:rPr>
          <w:rStyle w:val="affe"/>
        </w:rPr>
        <w:footnoteRef/>
      </w:r>
      <w:r>
        <w:t xml:space="preserve"> </w:t>
      </w:r>
      <w:r>
        <w:rPr>
          <w:rFonts w:hint="eastAsia"/>
        </w:rPr>
        <w:t>来源：国家统计局，</w:t>
      </w:r>
      <w:r>
        <w:t>https://www.stats.gov.cn/sj/zxfb/202407/t20240715_1955609.html</w:t>
      </w:r>
      <w:r>
        <w:rPr>
          <w:rFonts w:hint="eastAsia"/>
        </w:rPr>
        <w:t>，</w:t>
      </w:r>
      <w:r>
        <w:t>2024</w:t>
      </w:r>
      <w:r>
        <w:rPr>
          <w:rFonts w:hint="eastAsia"/>
        </w:rPr>
        <w:t>年</w:t>
      </w:r>
      <w:r>
        <w:t>7</w:t>
      </w:r>
      <w:r>
        <w:rPr>
          <w:rFonts w:hint="eastAsia"/>
        </w:rPr>
        <w:t>月</w:t>
      </w:r>
      <w:r>
        <w:t>15</w:t>
      </w:r>
      <w:r>
        <w:rPr>
          <w:rFonts w:hint="eastAsia"/>
        </w:rPr>
        <w:t>日。</w:t>
      </w:r>
    </w:p>
  </w:footnote>
  <w:footnote w:id="42">
    <w:p w14:paraId="32FA325E" w14:textId="77777777" w:rsidR="008810A2" w:rsidRDefault="00D921E0">
      <w:pPr>
        <w:pStyle w:val="afc"/>
      </w:pPr>
      <w:r>
        <w:rPr>
          <w:rStyle w:val="affe"/>
        </w:rPr>
        <w:footnoteRef/>
      </w:r>
      <w:r>
        <w:t xml:space="preserve"> </w:t>
      </w:r>
      <w:r>
        <w:rPr>
          <w:rFonts w:hint="eastAsia"/>
        </w:rPr>
        <w:t>来源：国家统计局，</w:t>
      </w:r>
      <w:r>
        <w:t>https://www.stats.gov.cn/sj/sjjd/202407/t20240715_1955601.html</w:t>
      </w:r>
      <w:r>
        <w:rPr>
          <w:rFonts w:hint="eastAsia"/>
        </w:rPr>
        <w:t>，</w:t>
      </w:r>
      <w:r>
        <w:t>2024</w:t>
      </w:r>
      <w:r>
        <w:rPr>
          <w:rFonts w:hint="eastAsia"/>
        </w:rPr>
        <w:t>年</w:t>
      </w:r>
      <w:r>
        <w:t>7</w:t>
      </w:r>
      <w:r>
        <w:rPr>
          <w:rFonts w:hint="eastAsia"/>
        </w:rPr>
        <w:t>月</w:t>
      </w:r>
      <w:r>
        <w:t>15</w:t>
      </w:r>
      <w:r>
        <w:rPr>
          <w:rFonts w:hint="eastAsia"/>
        </w:rPr>
        <w:t>日。</w:t>
      </w:r>
    </w:p>
  </w:footnote>
  <w:footnote w:id="43">
    <w:p w14:paraId="436B0BD3" w14:textId="77777777" w:rsidR="008810A2" w:rsidRDefault="00D921E0">
      <w:pPr>
        <w:pStyle w:val="afc"/>
      </w:pPr>
      <w:r>
        <w:rPr>
          <w:rStyle w:val="affe"/>
        </w:rPr>
        <w:footnoteRef/>
      </w:r>
      <w:r>
        <w:t xml:space="preserve"> </w:t>
      </w:r>
      <w:r>
        <w:rPr>
          <w:rFonts w:hint="eastAsia"/>
        </w:rPr>
        <w:t>来源：商务部，</w:t>
      </w:r>
      <w:r>
        <w:t>https://www.mofcom.gov.cn/xwfb/sjfzrfb/art/2024/art_56db58d4b1d14551b940652a8e65d559.html</w:t>
      </w:r>
      <w:r>
        <w:t>，</w:t>
      </w:r>
      <w:r>
        <w:rPr>
          <w:rFonts w:hint="eastAsia"/>
        </w:rPr>
        <w:t>20204</w:t>
      </w:r>
      <w:r>
        <w:t>年</w:t>
      </w:r>
      <w:r>
        <w:rPr>
          <w:rFonts w:hint="eastAsia"/>
        </w:rPr>
        <w:t>7</w:t>
      </w:r>
      <w:r>
        <w:t>月</w:t>
      </w:r>
      <w:r>
        <w:rPr>
          <w:rFonts w:hint="eastAsia"/>
        </w:rPr>
        <w:t>19</w:t>
      </w:r>
      <w:r>
        <w:rPr>
          <w:rFonts w:hint="eastAsia"/>
        </w:rPr>
        <w:t>日。</w:t>
      </w:r>
    </w:p>
  </w:footnote>
  <w:footnote w:id="44">
    <w:p w14:paraId="7CB18905" w14:textId="77777777" w:rsidR="008810A2" w:rsidRDefault="00D921E0">
      <w:pPr>
        <w:pStyle w:val="afc"/>
      </w:pPr>
      <w:r>
        <w:rPr>
          <w:rStyle w:val="affe"/>
        </w:rPr>
        <w:footnoteRef/>
      </w:r>
      <w:r>
        <w:t xml:space="preserve"> </w:t>
      </w:r>
      <w:r>
        <w:rPr>
          <w:rFonts w:hint="eastAsia"/>
        </w:rPr>
        <w:t>网上外卖在美团财务报告中被列入“配送服务”披露数据，网上外卖为该类别中的核心业务。</w:t>
      </w:r>
    </w:p>
  </w:footnote>
  <w:footnote w:id="45">
    <w:p w14:paraId="41E2902F" w14:textId="77777777" w:rsidR="008810A2" w:rsidRDefault="00D921E0">
      <w:pPr>
        <w:pStyle w:val="afc"/>
      </w:pPr>
      <w:r>
        <w:rPr>
          <w:rStyle w:val="affe"/>
        </w:rPr>
        <w:footnoteRef/>
      </w:r>
      <w:r>
        <w:t xml:space="preserve"> </w:t>
      </w:r>
      <w:r>
        <w:rPr>
          <w:rFonts w:hint="eastAsia"/>
        </w:rPr>
        <w:t>来源：美团截至</w:t>
      </w:r>
      <w:r>
        <w:rPr>
          <w:rFonts w:hint="eastAsia"/>
        </w:rPr>
        <w:t>2024</w:t>
      </w:r>
      <w:r>
        <w:rPr>
          <w:rFonts w:hint="eastAsia"/>
        </w:rPr>
        <w:t>年</w:t>
      </w:r>
      <w:r>
        <w:rPr>
          <w:rFonts w:hint="eastAsia"/>
        </w:rPr>
        <w:t>3</w:t>
      </w:r>
      <w:r>
        <w:rPr>
          <w:rFonts w:hint="eastAsia"/>
        </w:rPr>
        <w:t>月</w:t>
      </w:r>
      <w:r>
        <w:rPr>
          <w:rFonts w:hint="eastAsia"/>
        </w:rPr>
        <w:t>31</w:t>
      </w:r>
      <w:r>
        <w:rPr>
          <w:rFonts w:hint="eastAsia"/>
        </w:rPr>
        <w:t>日止三个月业绩公告，</w:t>
      </w:r>
      <w:r>
        <w:t>https://media-meituan.todayir.com/202406061816581769886914_sc.pdf</w:t>
      </w:r>
      <w:r>
        <w:t>，</w:t>
      </w:r>
      <w:r>
        <w:rPr>
          <w:rFonts w:hint="eastAsia"/>
        </w:rPr>
        <w:t>2</w:t>
      </w:r>
      <w:r>
        <w:t>024</w:t>
      </w:r>
      <w:r>
        <w:t>年</w:t>
      </w:r>
      <w:r>
        <w:rPr>
          <w:rFonts w:hint="eastAsia"/>
        </w:rPr>
        <w:t>6</w:t>
      </w:r>
      <w:r>
        <w:t>月</w:t>
      </w:r>
      <w:r>
        <w:rPr>
          <w:rFonts w:hint="eastAsia"/>
        </w:rPr>
        <w:t>6</w:t>
      </w:r>
      <w:r>
        <w:rPr>
          <w:rFonts w:hint="eastAsia"/>
        </w:rPr>
        <w:t>日。</w:t>
      </w:r>
    </w:p>
  </w:footnote>
  <w:footnote w:id="46">
    <w:p w14:paraId="2BC22F38" w14:textId="77777777" w:rsidR="008810A2" w:rsidRDefault="00D921E0">
      <w:pPr>
        <w:pStyle w:val="afc"/>
      </w:pPr>
      <w:r>
        <w:rPr>
          <w:rStyle w:val="affe"/>
        </w:rPr>
        <w:footnoteRef/>
      </w:r>
      <w:r>
        <w:t xml:space="preserve"> </w:t>
      </w:r>
      <w:r>
        <w:rPr>
          <w:rFonts w:hint="eastAsia"/>
        </w:rPr>
        <w:t>来源：阿里巴巴</w:t>
      </w:r>
      <w:r>
        <w:rPr>
          <w:rFonts w:hint="eastAsia"/>
        </w:rPr>
        <w:t>2</w:t>
      </w:r>
      <w:r>
        <w:t>024</w:t>
      </w:r>
      <w:r>
        <w:rPr>
          <w:rFonts w:hint="eastAsia"/>
        </w:rPr>
        <w:t>年第一季度财务报告，</w:t>
      </w:r>
      <w:r>
        <w:t>https://data.alibabagroup.com/ecms-files/1508664153/a36b0f02-0c47-406b-bd4a-02445b738810/Mar%2024%20Quarter%20Earnings%20Deck.pdf</w:t>
      </w:r>
      <w:r>
        <w:t>，</w:t>
      </w:r>
      <w:r>
        <w:t>2024</w:t>
      </w:r>
      <w:r>
        <w:t>年</w:t>
      </w:r>
      <w:r>
        <w:t>5</w:t>
      </w:r>
      <w:r>
        <w:t>月</w:t>
      </w:r>
      <w:r>
        <w:t>14</w:t>
      </w:r>
      <w:r>
        <w:t>日</w:t>
      </w:r>
      <w:r>
        <w:rPr>
          <w:rFonts w:hint="eastAsia"/>
        </w:rPr>
        <w:t>。</w:t>
      </w:r>
    </w:p>
  </w:footnote>
  <w:footnote w:id="47">
    <w:p w14:paraId="539A5082" w14:textId="77777777" w:rsidR="008810A2" w:rsidRDefault="00D921E0">
      <w:pPr>
        <w:pStyle w:val="afc"/>
      </w:pPr>
      <w:r>
        <w:rPr>
          <w:rStyle w:val="affe"/>
        </w:rPr>
        <w:footnoteRef/>
      </w:r>
      <w:r>
        <w:t xml:space="preserve"> </w:t>
      </w:r>
      <w:r>
        <w:rPr>
          <w:rFonts w:hint="eastAsia"/>
        </w:rPr>
        <w:t>来源：美团截至</w:t>
      </w:r>
      <w:r>
        <w:rPr>
          <w:rFonts w:hint="eastAsia"/>
        </w:rPr>
        <w:t>2024</w:t>
      </w:r>
      <w:r>
        <w:rPr>
          <w:rFonts w:hint="eastAsia"/>
        </w:rPr>
        <w:t>年</w:t>
      </w:r>
      <w:r>
        <w:rPr>
          <w:rFonts w:hint="eastAsia"/>
        </w:rPr>
        <w:t>3</w:t>
      </w:r>
      <w:r>
        <w:rPr>
          <w:rFonts w:hint="eastAsia"/>
        </w:rPr>
        <w:t>月</w:t>
      </w:r>
      <w:r>
        <w:rPr>
          <w:rFonts w:hint="eastAsia"/>
        </w:rPr>
        <w:t>31</w:t>
      </w:r>
      <w:r>
        <w:rPr>
          <w:rFonts w:hint="eastAsia"/>
        </w:rPr>
        <w:t>日止三个月业绩公告，</w:t>
      </w:r>
      <w:r>
        <w:t>https://media-meituan.todayir.com/202406061816581769886914_sc.pdf</w:t>
      </w:r>
      <w:r>
        <w:t>，</w:t>
      </w:r>
      <w:r>
        <w:rPr>
          <w:rFonts w:hint="eastAsia"/>
        </w:rPr>
        <w:t>2</w:t>
      </w:r>
      <w:r>
        <w:t>024</w:t>
      </w:r>
      <w:r>
        <w:t>年</w:t>
      </w:r>
      <w:r>
        <w:rPr>
          <w:rFonts w:hint="eastAsia"/>
        </w:rPr>
        <w:t>6</w:t>
      </w:r>
      <w:r>
        <w:t>月</w:t>
      </w:r>
      <w:r>
        <w:rPr>
          <w:rFonts w:hint="eastAsia"/>
        </w:rPr>
        <w:t>6</w:t>
      </w:r>
      <w:r>
        <w:rPr>
          <w:rFonts w:hint="eastAsia"/>
        </w:rPr>
        <w:t>日。</w:t>
      </w:r>
    </w:p>
  </w:footnote>
  <w:footnote w:id="48">
    <w:p w14:paraId="620F6AE9" w14:textId="77777777" w:rsidR="008810A2" w:rsidRDefault="00D921E0">
      <w:pPr>
        <w:pStyle w:val="afc"/>
      </w:pPr>
      <w:r>
        <w:rPr>
          <w:rStyle w:val="affe"/>
        </w:rPr>
        <w:footnoteRef/>
      </w:r>
      <w:r>
        <w:t xml:space="preserve"> </w:t>
      </w:r>
      <w:r>
        <w:rPr>
          <w:rFonts w:hint="eastAsia"/>
        </w:rPr>
        <w:t>来源：文化和旅游部，《</w:t>
      </w:r>
      <w:r>
        <w:rPr>
          <w:rFonts w:hint="eastAsia"/>
        </w:rPr>
        <w:t>2024</w:t>
      </w:r>
      <w:r>
        <w:rPr>
          <w:rFonts w:hint="eastAsia"/>
        </w:rPr>
        <w:t>年“五一”假期文化和旅游市场情况》，</w:t>
      </w:r>
      <w:r>
        <w:t>https://www.mct.gov.cn/whzx/whyw/202405/t20240506_952682.htm</w:t>
      </w:r>
      <w:r>
        <w:t>，</w:t>
      </w:r>
      <w:r>
        <w:rPr>
          <w:rFonts w:hint="eastAsia"/>
        </w:rPr>
        <w:t>2</w:t>
      </w:r>
      <w:r>
        <w:t>024</w:t>
      </w:r>
      <w:r>
        <w:t>年</w:t>
      </w:r>
      <w:r>
        <w:rPr>
          <w:rFonts w:hint="eastAsia"/>
        </w:rPr>
        <w:t>5</w:t>
      </w:r>
      <w:r>
        <w:t>月</w:t>
      </w:r>
      <w:r>
        <w:rPr>
          <w:rFonts w:hint="eastAsia"/>
        </w:rPr>
        <w:t>6</w:t>
      </w:r>
      <w:r>
        <w:rPr>
          <w:rFonts w:hint="eastAsia"/>
        </w:rPr>
        <w:t>日；《</w:t>
      </w:r>
      <w:r>
        <w:rPr>
          <w:rFonts w:hint="eastAsia"/>
        </w:rPr>
        <w:t>2024</w:t>
      </w:r>
      <w:r>
        <w:rPr>
          <w:rFonts w:hint="eastAsia"/>
        </w:rPr>
        <w:t>年端午节假期文化和旅游市场情况》，</w:t>
      </w:r>
      <w:r>
        <w:t>https://www.mct.gov.cn/whzx/whyw/202406/t20240610_953396.htm</w:t>
      </w:r>
      <w:r>
        <w:t>，</w:t>
      </w:r>
      <w:r>
        <w:rPr>
          <w:rFonts w:hint="eastAsia"/>
        </w:rPr>
        <w:t>2</w:t>
      </w:r>
      <w:r>
        <w:t>024</w:t>
      </w:r>
      <w:r>
        <w:t>年</w:t>
      </w:r>
      <w:r>
        <w:rPr>
          <w:rFonts w:hint="eastAsia"/>
        </w:rPr>
        <w:t>6</w:t>
      </w:r>
      <w:r>
        <w:t>月</w:t>
      </w:r>
      <w:r>
        <w:rPr>
          <w:rFonts w:hint="eastAsia"/>
        </w:rPr>
        <w:t>1</w:t>
      </w:r>
      <w:r>
        <w:t>0</w:t>
      </w:r>
      <w:r>
        <w:rPr>
          <w:rFonts w:hint="eastAsia"/>
        </w:rPr>
        <w:t>日。</w:t>
      </w:r>
    </w:p>
  </w:footnote>
  <w:footnote w:id="49">
    <w:p w14:paraId="048544C4" w14:textId="77777777" w:rsidR="008810A2" w:rsidRDefault="00D921E0">
      <w:pPr>
        <w:pStyle w:val="afc"/>
      </w:pPr>
      <w:r>
        <w:rPr>
          <w:rStyle w:val="affe"/>
        </w:rPr>
        <w:footnoteRef/>
      </w:r>
      <w:r>
        <w:t xml:space="preserve"> </w:t>
      </w:r>
      <w:r>
        <w:rPr>
          <w:rFonts w:hint="eastAsia"/>
        </w:rPr>
        <w:t>来源：同程旅行</w:t>
      </w:r>
      <w:r>
        <w:rPr>
          <w:rFonts w:hint="eastAsia"/>
        </w:rPr>
        <w:t>2</w:t>
      </w:r>
      <w:r>
        <w:t>024</w:t>
      </w:r>
      <w:r>
        <w:rPr>
          <w:rFonts w:hint="eastAsia"/>
        </w:rPr>
        <w:t>年第一季度财务报告，</w:t>
      </w:r>
      <w:r>
        <w:rPr>
          <w:rFonts w:hint="eastAsia"/>
        </w:rPr>
        <w:t>https://stockn.xueqiu.com/00780/20240521560383.pdf</w:t>
      </w:r>
      <w:r>
        <w:t>，</w:t>
      </w:r>
      <w:r>
        <w:rPr>
          <w:rFonts w:hint="eastAsia"/>
        </w:rPr>
        <w:t>2</w:t>
      </w:r>
      <w:r>
        <w:t>024</w:t>
      </w:r>
      <w:r>
        <w:t>年</w:t>
      </w:r>
      <w:r>
        <w:rPr>
          <w:rFonts w:hint="eastAsia"/>
        </w:rPr>
        <w:t>5</w:t>
      </w:r>
      <w:r>
        <w:t>月</w:t>
      </w:r>
      <w:r>
        <w:rPr>
          <w:rFonts w:hint="eastAsia"/>
        </w:rPr>
        <w:t>2</w:t>
      </w:r>
      <w:r>
        <w:t>1</w:t>
      </w:r>
      <w:r>
        <w:rPr>
          <w:rFonts w:hint="eastAsia"/>
        </w:rPr>
        <w:t>日。</w:t>
      </w:r>
    </w:p>
  </w:footnote>
  <w:footnote w:id="50">
    <w:p w14:paraId="07ABB7B2" w14:textId="77777777" w:rsidR="008810A2" w:rsidRDefault="00D921E0">
      <w:pPr>
        <w:pStyle w:val="afc"/>
      </w:pPr>
      <w:r>
        <w:rPr>
          <w:rStyle w:val="affe"/>
        </w:rPr>
        <w:footnoteRef/>
      </w:r>
      <w:r>
        <w:t xml:space="preserve"> </w:t>
      </w:r>
      <w:r>
        <w:rPr>
          <w:rFonts w:hint="eastAsia"/>
        </w:rPr>
        <w:t>来源：携程集团</w:t>
      </w:r>
      <w:r>
        <w:rPr>
          <w:rFonts w:hint="eastAsia"/>
        </w:rPr>
        <w:t>202</w:t>
      </w:r>
      <w:r>
        <w:t>4</w:t>
      </w:r>
      <w:r>
        <w:rPr>
          <w:rFonts w:hint="eastAsia"/>
        </w:rPr>
        <w:t>年第一季度财务报告，</w:t>
      </w:r>
      <w:r>
        <w:t>https://investors.trip.com/static-files/d0ac2045-1d07-43e8-b92e-17986dfa622d</w:t>
      </w:r>
      <w:r>
        <w:rPr>
          <w:rFonts w:hint="eastAsia"/>
        </w:rPr>
        <w:t>，</w:t>
      </w:r>
      <w:r>
        <w:rPr>
          <w:rFonts w:hint="eastAsia"/>
        </w:rPr>
        <w:t>2</w:t>
      </w:r>
      <w:r>
        <w:t>024</w:t>
      </w:r>
      <w:r>
        <w:t>年</w:t>
      </w:r>
      <w:r>
        <w:rPr>
          <w:rFonts w:hint="eastAsia"/>
        </w:rPr>
        <w:t>5</w:t>
      </w:r>
      <w:r>
        <w:t>月</w:t>
      </w:r>
      <w:r>
        <w:rPr>
          <w:rFonts w:hint="eastAsia"/>
        </w:rPr>
        <w:t>2</w:t>
      </w:r>
      <w:r>
        <w:t>0</w:t>
      </w:r>
      <w:r>
        <w:rPr>
          <w:rFonts w:hint="eastAsia"/>
        </w:rPr>
        <w:t>日。</w:t>
      </w:r>
    </w:p>
  </w:footnote>
  <w:footnote w:id="51">
    <w:p w14:paraId="61B2ECBF" w14:textId="77777777" w:rsidR="008810A2" w:rsidRDefault="00D921E0">
      <w:pPr>
        <w:pStyle w:val="afc"/>
      </w:pPr>
      <w:r>
        <w:rPr>
          <w:rStyle w:val="affe"/>
        </w:rPr>
        <w:footnoteRef/>
      </w:r>
      <w:r>
        <w:t xml:space="preserve"> </w:t>
      </w:r>
      <w:r>
        <w:rPr>
          <w:rFonts w:hint="eastAsia"/>
        </w:rPr>
        <w:t>来源：携程集团</w:t>
      </w:r>
      <w:r>
        <w:rPr>
          <w:rFonts w:hint="eastAsia"/>
        </w:rPr>
        <w:t>202</w:t>
      </w:r>
      <w:r>
        <w:t>4</w:t>
      </w:r>
      <w:r>
        <w:rPr>
          <w:rFonts w:hint="eastAsia"/>
        </w:rPr>
        <w:t>年第一季度财务报告，</w:t>
      </w:r>
      <w:r>
        <w:t>https://investors.trip.com/static-files/d0ac2045-1d07-43e8-b92e-17986dfa622d</w:t>
      </w:r>
      <w:r>
        <w:rPr>
          <w:rFonts w:hint="eastAsia"/>
        </w:rPr>
        <w:t>，</w:t>
      </w:r>
      <w:r>
        <w:rPr>
          <w:rFonts w:hint="eastAsia"/>
        </w:rPr>
        <w:t>2</w:t>
      </w:r>
      <w:r>
        <w:t>024</w:t>
      </w:r>
      <w:r>
        <w:t>年</w:t>
      </w:r>
      <w:r>
        <w:rPr>
          <w:rFonts w:hint="eastAsia"/>
        </w:rPr>
        <w:t>5</w:t>
      </w:r>
      <w:r>
        <w:t>月</w:t>
      </w:r>
      <w:r>
        <w:rPr>
          <w:rFonts w:hint="eastAsia"/>
        </w:rPr>
        <w:t>2</w:t>
      </w:r>
      <w:r>
        <w:t>0</w:t>
      </w:r>
      <w:r>
        <w:rPr>
          <w:rFonts w:hint="eastAsia"/>
        </w:rPr>
        <w:t>日。</w:t>
      </w:r>
    </w:p>
  </w:footnote>
  <w:footnote w:id="52">
    <w:p w14:paraId="2831475C" w14:textId="77777777" w:rsidR="008810A2" w:rsidRDefault="00D921E0">
      <w:pPr>
        <w:pStyle w:val="afc"/>
      </w:pPr>
      <w:r>
        <w:rPr>
          <w:rStyle w:val="affe"/>
        </w:rPr>
        <w:footnoteRef/>
      </w:r>
      <w:r>
        <w:t xml:space="preserve"> </w:t>
      </w:r>
      <w:r>
        <w:rPr>
          <w:rFonts w:hint="eastAsia"/>
        </w:rPr>
        <w:t>来源：同程旅行</w:t>
      </w:r>
      <w:r>
        <w:rPr>
          <w:rFonts w:hint="eastAsia"/>
        </w:rPr>
        <w:t>2</w:t>
      </w:r>
      <w:r>
        <w:t>024</w:t>
      </w:r>
      <w:r>
        <w:rPr>
          <w:rFonts w:hint="eastAsia"/>
        </w:rPr>
        <w:t>年第一季度财务报告，</w:t>
      </w:r>
      <w:r>
        <w:rPr>
          <w:rFonts w:hint="eastAsia"/>
        </w:rPr>
        <w:t>https://stockn.xueqiu.com/00780/20240521560383.pdf</w:t>
      </w:r>
      <w:r>
        <w:t>，</w:t>
      </w:r>
      <w:r>
        <w:rPr>
          <w:rFonts w:hint="eastAsia"/>
        </w:rPr>
        <w:t>2</w:t>
      </w:r>
      <w:r>
        <w:t>024</w:t>
      </w:r>
      <w:r>
        <w:t>年</w:t>
      </w:r>
      <w:r>
        <w:rPr>
          <w:rFonts w:hint="eastAsia"/>
        </w:rPr>
        <w:t>5</w:t>
      </w:r>
      <w:r>
        <w:t>月</w:t>
      </w:r>
      <w:r>
        <w:rPr>
          <w:rFonts w:hint="eastAsia"/>
        </w:rPr>
        <w:t>2</w:t>
      </w:r>
      <w:r>
        <w:t>1</w:t>
      </w:r>
      <w:r>
        <w:rPr>
          <w:rFonts w:hint="eastAsia"/>
        </w:rPr>
        <w:t>日。</w:t>
      </w:r>
    </w:p>
  </w:footnote>
  <w:footnote w:id="53">
    <w:p w14:paraId="058B6473" w14:textId="77777777" w:rsidR="008810A2" w:rsidRDefault="00D921E0">
      <w:pPr>
        <w:pStyle w:val="afc"/>
      </w:pPr>
      <w:r>
        <w:rPr>
          <w:rStyle w:val="affe"/>
        </w:rPr>
        <w:footnoteRef/>
      </w:r>
      <w:r>
        <w:t xml:space="preserve"> </w:t>
      </w:r>
      <w:r>
        <w:rPr>
          <w:rFonts w:hint="eastAsia"/>
        </w:rPr>
        <w:t>注：</w:t>
      </w:r>
      <w:r>
        <w:rPr>
          <w:rFonts w:hint="eastAsia"/>
        </w:rPr>
        <w:t>2024</w:t>
      </w:r>
      <w:r>
        <w:rPr>
          <w:rFonts w:hint="eastAsia"/>
        </w:rPr>
        <w:t>年</w:t>
      </w:r>
      <w:r>
        <w:rPr>
          <w:rFonts w:hint="eastAsia"/>
        </w:rPr>
        <w:t>6</w:t>
      </w:r>
      <w:r>
        <w:rPr>
          <w:rFonts w:hint="eastAsia"/>
        </w:rPr>
        <w:t>月网络视频用户规模中包含微短剧用户。</w:t>
      </w:r>
    </w:p>
  </w:footnote>
  <w:footnote w:id="54">
    <w:p w14:paraId="4F9942F4" w14:textId="77777777" w:rsidR="008810A2" w:rsidRDefault="00D921E0">
      <w:pPr>
        <w:pStyle w:val="afc"/>
      </w:pPr>
      <w:r>
        <w:rPr>
          <w:rStyle w:val="affe"/>
        </w:rPr>
        <w:footnoteRef/>
      </w:r>
      <w:r>
        <w:t xml:space="preserve"> </w:t>
      </w:r>
      <w:r>
        <w:rPr>
          <w:rFonts w:hint="eastAsia"/>
        </w:rPr>
        <w:t>AIGC</w:t>
      </w:r>
      <w:r>
        <w:rPr>
          <w:rFonts w:hint="eastAsia"/>
        </w:rPr>
        <w:t>：即</w:t>
      </w:r>
      <w:r>
        <w:rPr>
          <w:rFonts w:hint="eastAsia"/>
        </w:rPr>
        <w:t>Artificial Intelligence Generative Content</w:t>
      </w:r>
      <w:r>
        <w:rPr>
          <w:rFonts w:hint="eastAsia"/>
        </w:rPr>
        <w:t>，指人工智能生成内容。</w:t>
      </w:r>
    </w:p>
  </w:footnote>
  <w:footnote w:id="55">
    <w:p w14:paraId="45AA66CD" w14:textId="77777777" w:rsidR="008810A2" w:rsidRDefault="00D921E0">
      <w:pPr>
        <w:pStyle w:val="afc"/>
      </w:pPr>
      <w:r>
        <w:rPr>
          <w:rStyle w:val="affe"/>
        </w:rPr>
        <w:footnoteRef/>
      </w:r>
      <w:r>
        <w:t xml:space="preserve"> </w:t>
      </w:r>
      <w:r>
        <w:rPr>
          <w:rFonts w:hint="eastAsia"/>
        </w:rPr>
        <w:t>来源：国家广播电视总局，</w:t>
      </w:r>
      <w:r>
        <w:t>https://www.nrta.gov.cn/art/2024/1/12/art_113_66599.html</w:t>
      </w:r>
      <w:r>
        <w:t>，</w:t>
      </w:r>
      <w:r>
        <w:rPr>
          <w:rFonts w:hint="eastAsia"/>
        </w:rPr>
        <w:t>2024</w:t>
      </w:r>
      <w:r>
        <w:t>年</w:t>
      </w:r>
      <w:r>
        <w:rPr>
          <w:rFonts w:hint="eastAsia"/>
        </w:rPr>
        <w:t>1</w:t>
      </w:r>
      <w:r>
        <w:t>月</w:t>
      </w:r>
      <w:r>
        <w:rPr>
          <w:rFonts w:hint="eastAsia"/>
        </w:rPr>
        <w:t>12</w:t>
      </w:r>
      <w:r>
        <w:rPr>
          <w:rFonts w:hint="eastAsia"/>
        </w:rPr>
        <w:t>日。</w:t>
      </w:r>
    </w:p>
  </w:footnote>
  <w:footnote w:id="56">
    <w:p w14:paraId="3536B059" w14:textId="77777777" w:rsidR="008810A2" w:rsidRDefault="00D921E0">
      <w:pPr>
        <w:pStyle w:val="afc"/>
      </w:pPr>
      <w:r>
        <w:rPr>
          <w:rStyle w:val="affe"/>
        </w:rPr>
        <w:footnoteRef/>
      </w:r>
      <w:r>
        <w:t xml:space="preserve"> </w:t>
      </w:r>
      <w:r>
        <w:rPr>
          <w:rFonts w:hint="eastAsia"/>
        </w:rPr>
        <w:t>来源：</w:t>
      </w:r>
      <w:r>
        <w:rPr>
          <w:rFonts w:hint="eastAsia"/>
        </w:rPr>
        <w:t>QuestMobile</w:t>
      </w:r>
      <w:r>
        <w:rPr>
          <w:rFonts w:hint="eastAsia"/>
        </w:rPr>
        <w:t>《</w:t>
      </w:r>
      <w:r>
        <w:rPr>
          <w:rFonts w:hint="eastAsia"/>
        </w:rPr>
        <w:t>2024</w:t>
      </w:r>
      <w:r>
        <w:rPr>
          <w:rFonts w:hint="eastAsia"/>
        </w:rPr>
        <w:t>中国移动互联网春季大报告》，</w:t>
      </w:r>
      <w:r>
        <w:t>https://www.questmobile.com.cn/research/report/1787753953225707522</w:t>
      </w:r>
      <w:r>
        <w:t>，</w:t>
      </w:r>
      <w:r>
        <w:rPr>
          <w:rFonts w:hint="eastAsia"/>
        </w:rPr>
        <w:t>2024</w:t>
      </w:r>
      <w:r>
        <w:t>年</w:t>
      </w:r>
      <w:r>
        <w:rPr>
          <w:rFonts w:hint="eastAsia"/>
        </w:rPr>
        <w:t>5</w:t>
      </w:r>
      <w:r>
        <w:t>月</w:t>
      </w:r>
      <w:r>
        <w:rPr>
          <w:rFonts w:hint="eastAsia"/>
        </w:rPr>
        <w:t>7</w:t>
      </w:r>
      <w:r>
        <w:rPr>
          <w:rFonts w:hint="eastAsia"/>
        </w:rPr>
        <w:t>日。</w:t>
      </w:r>
    </w:p>
  </w:footnote>
  <w:footnote w:id="57">
    <w:p w14:paraId="0E181310" w14:textId="77777777" w:rsidR="008810A2" w:rsidRDefault="00D921E0">
      <w:pPr>
        <w:pStyle w:val="afc"/>
      </w:pPr>
      <w:r>
        <w:rPr>
          <w:rStyle w:val="affe"/>
        </w:rPr>
        <w:footnoteRef/>
      </w:r>
      <w:r>
        <w:t xml:space="preserve"> </w:t>
      </w:r>
      <w:r>
        <w:rPr>
          <w:rFonts w:hint="eastAsia"/>
        </w:rPr>
        <w:t>来源：快手科技</w:t>
      </w:r>
      <w:r>
        <w:rPr>
          <w:rFonts w:hint="eastAsia"/>
        </w:rPr>
        <w:t>2024</w:t>
      </w:r>
      <w:r>
        <w:rPr>
          <w:rFonts w:hint="eastAsia"/>
        </w:rPr>
        <w:t>年第一季度财务报告，</w:t>
      </w:r>
      <w:r>
        <w:t>https://ir.kuaishou.com/system/files-encrypted/nasdaq_kms/assets/2024/05/22/5-01-10/HKEX-EPS_20240522_11217161_0.pdf</w:t>
      </w:r>
      <w:r>
        <w:t>，</w:t>
      </w:r>
      <w:r>
        <w:rPr>
          <w:rFonts w:hint="eastAsia"/>
        </w:rPr>
        <w:t>2024</w:t>
      </w:r>
      <w:r>
        <w:t>年</w:t>
      </w:r>
      <w:r>
        <w:rPr>
          <w:rFonts w:hint="eastAsia"/>
        </w:rPr>
        <w:t>5</w:t>
      </w:r>
      <w:r>
        <w:rPr>
          <w:rFonts w:hint="eastAsia"/>
        </w:rPr>
        <w:t>月</w:t>
      </w:r>
      <w:r>
        <w:rPr>
          <w:rFonts w:hint="eastAsia"/>
        </w:rPr>
        <w:t>22</w:t>
      </w:r>
      <w:r>
        <w:rPr>
          <w:rFonts w:hint="eastAsia"/>
        </w:rPr>
        <w:t>日。</w:t>
      </w:r>
    </w:p>
  </w:footnote>
  <w:footnote w:id="58">
    <w:p w14:paraId="4CA0004A" w14:textId="77777777" w:rsidR="008810A2" w:rsidRDefault="00D921E0">
      <w:pPr>
        <w:pStyle w:val="afc"/>
      </w:pPr>
      <w:r>
        <w:rPr>
          <w:rStyle w:val="affe"/>
        </w:rPr>
        <w:footnoteRef/>
      </w:r>
      <w:r>
        <w:t xml:space="preserve"> </w:t>
      </w:r>
      <w:r>
        <w:rPr>
          <w:rFonts w:hint="eastAsia"/>
        </w:rPr>
        <w:t>来源：同上。</w:t>
      </w:r>
    </w:p>
  </w:footnote>
  <w:footnote w:id="59">
    <w:p w14:paraId="3137E88E" w14:textId="77777777" w:rsidR="008810A2" w:rsidRDefault="00D921E0">
      <w:pPr>
        <w:pStyle w:val="afc"/>
      </w:pPr>
      <w:r>
        <w:rPr>
          <w:rStyle w:val="affe"/>
        </w:rPr>
        <w:footnoteRef/>
      </w:r>
      <w:r>
        <w:t xml:space="preserve"> </w:t>
      </w:r>
      <w:r>
        <w:rPr>
          <w:rFonts w:hint="eastAsia"/>
        </w:rPr>
        <w:t>618</w:t>
      </w:r>
      <w:r>
        <w:rPr>
          <w:rFonts w:hint="eastAsia"/>
        </w:rPr>
        <w:t>期间：指</w:t>
      </w:r>
      <w:r>
        <w:t>5</w:t>
      </w:r>
      <w:r>
        <w:t>月</w:t>
      </w:r>
      <w:r>
        <w:t>24</w:t>
      </w:r>
      <w:r>
        <w:t>日</w:t>
      </w:r>
      <w:r>
        <w:rPr>
          <w:rFonts w:hint="eastAsia"/>
        </w:rPr>
        <w:t>至</w:t>
      </w:r>
      <w:r>
        <w:rPr>
          <w:rFonts w:hint="eastAsia"/>
        </w:rPr>
        <w:t>6</w:t>
      </w:r>
      <w:r>
        <w:t>月</w:t>
      </w:r>
      <w:r>
        <w:t>18</w:t>
      </w:r>
      <w:r>
        <w:t>日</w:t>
      </w:r>
      <w:r>
        <w:rPr>
          <w:rFonts w:hint="eastAsia"/>
        </w:rPr>
        <w:t>。</w:t>
      </w:r>
    </w:p>
  </w:footnote>
  <w:footnote w:id="60">
    <w:p w14:paraId="48E168FA" w14:textId="77777777" w:rsidR="008810A2" w:rsidRDefault="00D921E0">
      <w:pPr>
        <w:pStyle w:val="afc"/>
      </w:pPr>
      <w:r>
        <w:rPr>
          <w:rStyle w:val="affe"/>
        </w:rPr>
        <w:footnoteRef/>
      </w:r>
      <w:r>
        <w:t xml:space="preserve"> </w:t>
      </w:r>
      <w:r>
        <w:rPr>
          <w:rFonts w:hint="eastAsia"/>
        </w:rPr>
        <w:t>来源：《“抖音商城</w:t>
      </w:r>
      <w:r>
        <w:rPr>
          <w:rFonts w:hint="eastAsia"/>
        </w:rPr>
        <w:t>618</w:t>
      </w:r>
      <w:r>
        <w:rPr>
          <w:rFonts w:hint="eastAsia"/>
        </w:rPr>
        <w:t>好物节”消费数据报告》，</w:t>
      </w:r>
      <w:r>
        <w:t>https://mp.weixin.qq.com/s/a9LVeaUM3CoZpR0QjzjaCQ</w:t>
      </w:r>
      <w:r>
        <w:t>，</w:t>
      </w:r>
      <w:r>
        <w:rPr>
          <w:rFonts w:hint="eastAsia"/>
        </w:rPr>
        <w:t>2024</w:t>
      </w:r>
      <w:r>
        <w:t>年</w:t>
      </w:r>
      <w:r>
        <w:rPr>
          <w:rFonts w:hint="eastAsia"/>
        </w:rPr>
        <w:t>6</w:t>
      </w:r>
      <w:r>
        <w:t>月</w:t>
      </w:r>
      <w:r>
        <w:rPr>
          <w:rFonts w:hint="eastAsia"/>
        </w:rPr>
        <w:t>21</w:t>
      </w:r>
      <w:r>
        <w:rPr>
          <w:rFonts w:hint="eastAsia"/>
        </w:rPr>
        <w:t>日。</w:t>
      </w:r>
    </w:p>
  </w:footnote>
  <w:footnote w:id="61">
    <w:p w14:paraId="0A850D0D" w14:textId="77777777" w:rsidR="008810A2" w:rsidRDefault="00D921E0">
      <w:pPr>
        <w:pStyle w:val="afc"/>
      </w:pPr>
      <w:r>
        <w:rPr>
          <w:rStyle w:val="affe"/>
        </w:rPr>
        <w:footnoteRef/>
      </w:r>
      <w:r>
        <w:t xml:space="preserve"> </w:t>
      </w:r>
      <w:r>
        <w:rPr>
          <w:rFonts w:hint="eastAsia"/>
        </w:rPr>
        <w:t>来源：灯塔专业版，</w:t>
      </w:r>
      <w:r>
        <w:t>https://mp.weixin.qq.com/s/rL-6WAISzKlwDhbvFRb6pg</w:t>
      </w:r>
      <w:r>
        <w:t>，</w:t>
      </w:r>
      <w:r>
        <w:rPr>
          <w:rFonts w:hint="eastAsia"/>
        </w:rPr>
        <w:t>2024</w:t>
      </w:r>
      <w:r>
        <w:t>年</w:t>
      </w:r>
      <w:r>
        <w:rPr>
          <w:rFonts w:hint="eastAsia"/>
        </w:rPr>
        <w:t>7</w:t>
      </w:r>
      <w:r>
        <w:t>月</w:t>
      </w:r>
      <w:r>
        <w:rPr>
          <w:rFonts w:hint="eastAsia"/>
        </w:rPr>
        <w:t>15</w:t>
      </w:r>
      <w:r>
        <w:rPr>
          <w:rFonts w:hint="eastAsia"/>
        </w:rPr>
        <w:t>日。</w:t>
      </w:r>
    </w:p>
  </w:footnote>
  <w:footnote w:id="62">
    <w:p w14:paraId="2D52511D" w14:textId="77777777" w:rsidR="008810A2" w:rsidRDefault="00D921E0">
      <w:pPr>
        <w:pStyle w:val="afc"/>
      </w:pPr>
      <w:r>
        <w:rPr>
          <w:rStyle w:val="affe"/>
        </w:rPr>
        <w:footnoteRef/>
      </w:r>
      <w:r>
        <w:t xml:space="preserve"> </w:t>
      </w:r>
      <w:r>
        <w:rPr>
          <w:rFonts w:hint="eastAsia"/>
        </w:rPr>
        <w:t>来源：美团</w:t>
      </w:r>
      <w:r>
        <w:rPr>
          <w:rFonts w:hint="eastAsia"/>
        </w:rPr>
        <w:t>2024</w:t>
      </w:r>
      <w:r>
        <w:rPr>
          <w:rFonts w:hint="eastAsia"/>
        </w:rPr>
        <w:t>年第一季度财务报告，</w:t>
      </w:r>
      <w:r>
        <w:t>https://media-meituan.todayir.com/202406061816581769886914_sc.pdf</w:t>
      </w:r>
      <w:r>
        <w:t>，</w:t>
      </w:r>
      <w:r>
        <w:rPr>
          <w:rFonts w:hint="eastAsia"/>
        </w:rPr>
        <w:t>2024</w:t>
      </w:r>
      <w:r>
        <w:t>年</w:t>
      </w:r>
      <w:r>
        <w:rPr>
          <w:rFonts w:hint="eastAsia"/>
        </w:rPr>
        <w:t>6</w:t>
      </w:r>
      <w:r>
        <w:t>月</w:t>
      </w:r>
      <w:r>
        <w:rPr>
          <w:rFonts w:hint="eastAsia"/>
        </w:rPr>
        <w:t>6</w:t>
      </w:r>
      <w:r>
        <w:rPr>
          <w:rFonts w:hint="eastAsia"/>
        </w:rPr>
        <w:t>日。</w:t>
      </w:r>
    </w:p>
  </w:footnote>
  <w:footnote w:id="63">
    <w:p w14:paraId="49FE9183" w14:textId="77777777" w:rsidR="008810A2" w:rsidRDefault="00D921E0">
      <w:pPr>
        <w:pStyle w:val="afc"/>
      </w:pPr>
      <w:r>
        <w:rPr>
          <w:rStyle w:val="affe"/>
        </w:rPr>
        <w:footnoteRef/>
      </w:r>
      <w:r>
        <w:t xml:space="preserve"> </w:t>
      </w:r>
      <w:r>
        <w:rPr>
          <w:rFonts w:hint="eastAsia"/>
        </w:rPr>
        <w:t>来源：京东</w:t>
      </w:r>
      <w:r>
        <w:rPr>
          <w:rFonts w:hint="eastAsia"/>
        </w:rPr>
        <w:t>2024</w:t>
      </w:r>
      <w:r>
        <w:rPr>
          <w:rFonts w:hint="eastAsia"/>
        </w:rPr>
        <w:t>年第一季度财务报告，</w:t>
      </w:r>
      <w:r>
        <w:t>https://staticpacific.blob.core.windows.net/press-releases-attachments/1670261/HKEX-EPS_20240516_11212220_0.PDF</w:t>
      </w:r>
      <w:r>
        <w:t>，</w:t>
      </w:r>
      <w:r>
        <w:rPr>
          <w:rFonts w:hint="eastAsia"/>
        </w:rPr>
        <w:t>2024</w:t>
      </w:r>
      <w:r>
        <w:t>年</w:t>
      </w:r>
      <w:r>
        <w:rPr>
          <w:rFonts w:hint="eastAsia"/>
        </w:rPr>
        <w:t>5</w:t>
      </w:r>
      <w:r>
        <w:t>月</w:t>
      </w:r>
      <w:r>
        <w:rPr>
          <w:rFonts w:hint="eastAsia"/>
        </w:rPr>
        <w:t>16</w:t>
      </w:r>
      <w:r>
        <w:rPr>
          <w:rFonts w:hint="eastAsia"/>
        </w:rPr>
        <w:t>日。</w:t>
      </w:r>
    </w:p>
  </w:footnote>
  <w:footnote w:id="64">
    <w:p w14:paraId="46212F79" w14:textId="77777777" w:rsidR="008810A2" w:rsidRDefault="00D921E0">
      <w:pPr>
        <w:pStyle w:val="afc"/>
      </w:pPr>
      <w:r>
        <w:rPr>
          <w:rStyle w:val="affe"/>
        </w:rPr>
        <w:footnoteRef/>
      </w:r>
      <w:r>
        <w:t xml:space="preserve"> </w:t>
      </w:r>
      <w:r>
        <w:rPr>
          <w:rFonts w:hint="eastAsia"/>
        </w:rPr>
        <w:t>来源：腾讯</w:t>
      </w:r>
      <w:r>
        <w:rPr>
          <w:rFonts w:hint="eastAsia"/>
        </w:rPr>
        <w:t>2024</w:t>
      </w:r>
      <w:r>
        <w:rPr>
          <w:rFonts w:hint="eastAsia"/>
        </w:rPr>
        <w:t>年第一季度财务报告，</w:t>
      </w:r>
      <w:r>
        <w:t>https://static.www.tencent.com/uploads/2024/05/14/6c813f619346ebb2634fc0693a8f6b81.pdf</w:t>
      </w:r>
      <w:r>
        <w:t>，</w:t>
      </w:r>
      <w:r>
        <w:rPr>
          <w:rFonts w:hint="eastAsia"/>
        </w:rPr>
        <w:t>2024</w:t>
      </w:r>
      <w:r>
        <w:t>年</w:t>
      </w:r>
      <w:r>
        <w:rPr>
          <w:rFonts w:hint="eastAsia"/>
        </w:rPr>
        <w:t>5</w:t>
      </w:r>
      <w:r>
        <w:t>月</w:t>
      </w:r>
      <w:r>
        <w:rPr>
          <w:rFonts w:hint="eastAsia"/>
        </w:rPr>
        <w:t>14</w:t>
      </w:r>
      <w:r>
        <w:rPr>
          <w:rFonts w:hint="eastAsia"/>
        </w:rPr>
        <w:t>日。</w:t>
      </w:r>
    </w:p>
  </w:footnote>
  <w:footnote w:id="65">
    <w:p w14:paraId="0227097B" w14:textId="77777777" w:rsidR="008810A2" w:rsidRDefault="00D921E0">
      <w:pPr>
        <w:pStyle w:val="afc"/>
      </w:pPr>
      <w:r>
        <w:rPr>
          <w:rStyle w:val="affe"/>
        </w:rPr>
        <w:footnoteRef/>
      </w:r>
      <w:r>
        <w:t xml:space="preserve"> </w:t>
      </w:r>
      <w:r>
        <w:rPr>
          <w:rFonts w:hint="eastAsia"/>
        </w:rPr>
        <w:t>来源：腾讯音乐娱乐集团</w:t>
      </w:r>
      <w:r>
        <w:rPr>
          <w:rFonts w:hint="eastAsia"/>
        </w:rPr>
        <w:t>2</w:t>
      </w:r>
      <w:r>
        <w:t>02</w:t>
      </w:r>
      <w:r>
        <w:rPr>
          <w:rFonts w:hint="eastAsia"/>
        </w:rPr>
        <w:t>4</w:t>
      </w:r>
      <w:r>
        <w:rPr>
          <w:rFonts w:hint="eastAsia"/>
        </w:rPr>
        <w:t>年第一季度、第二季度财务报告，</w:t>
      </w:r>
      <w:r>
        <w:t>https://ir-sc.tencentmusic.com/Financial-Results</w:t>
      </w:r>
      <w:r>
        <w:t>，</w:t>
      </w:r>
      <w:r>
        <w:rPr>
          <w:rFonts w:hint="eastAsia"/>
        </w:rPr>
        <w:t>2</w:t>
      </w:r>
      <w:r>
        <w:t>02</w:t>
      </w:r>
      <w:r>
        <w:rPr>
          <w:rFonts w:hint="eastAsia"/>
        </w:rPr>
        <w:t>4</w:t>
      </w:r>
      <w:r>
        <w:t>年</w:t>
      </w:r>
      <w:r>
        <w:rPr>
          <w:rFonts w:hint="eastAsia"/>
        </w:rPr>
        <w:t>8</w:t>
      </w:r>
      <w:r>
        <w:t>月</w:t>
      </w:r>
      <w:r>
        <w:t>1</w:t>
      </w:r>
      <w:r>
        <w:rPr>
          <w:rFonts w:hint="eastAsia"/>
        </w:rPr>
        <w:t>3</w:t>
      </w:r>
      <w:r>
        <w:rPr>
          <w:rFonts w:hint="eastAsia"/>
        </w:rPr>
        <w:t>日。</w:t>
      </w:r>
    </w:p>
  </w:footnote>
  <w:footnote w:id="66">
    <w:p w14:paraId="2EA362F7" w14:textId="77777777" w:rsidR="008810A2" w:rsidRDefault="00D921E0">
      <w:pPr>
        <w:pStyle w:val="afc"/>
      </w:pPr>
      <w:r>
        <w:rPr>
          <w:rStyle w:val="affe"/>
        </w:rPr>
        <w:footnoteRef/>
      </w:r>
      <w:r>
        <w:t xml:space="preserve"> </w:t>
      </w:r>
      <w:r>
        <w:rPr>
          <w:rFonts w:hint="eastAsia"/>
        </w:rPr>
        <w:t>来源：网易云音乐</w:t>
      </w:r>
      <w:r>
        <w:rPr>
          <w:rFonts w:hint="eastAsia"/>
        </w:rPr>
        <w:t>2</w:t>
      </w:r>
      <w:r>
        <w:t>023</w:t>
      </w:r>
      <w:r>
        <w:rPr>
          <w:rFonts w:hint="eastAsia"/>
        </w:rPr>
        <w:t>年度财务报告，</w:t>
      </w:r>
      <w:r>
        <w:t>https://manager.wisdomir.com/files/627/2024/0425/20240425171501_89818139_tc.pdf</w:t>
      </w:r>
      <w:r>
        <w:t>，</w:t>
      </w:r>
      <w:r>
        <w:rPr>
          <w:rFonts w:hint="eastAsia"/>
        </w:rPr>
        <w:t>2</w:t>
      </w:r>
      <w:r>
        <w:t>02</w:t>
      </w:r>
      <w:r>
        <w:rPr>
          <w:rFonts w:hint="eastAsia"/>
        </w:rPr>
        <w:t>4</w:t>
      </w:r>
      <w:r>
        <w:t>年</w:t>
      </w:r>
      <w:r>
        <w:rPr>
          <w:rFonts w:hint="eastAsia"/>
        </w:rPr>
        <w:t>4</w:t>
      </w:r>
      <w:r>
        <w:t>月</w:t>
      </w:r>
      <w:r>
        <w:t>2</w:t>
      </w:r>
      <w:r>
        <w:rPr>
          <w:rFonts w:hint="eastAsia"/>
        </w:rPr>
        <w:t>5</w:t>
      </w:r>
      <w:r>
        <w:rPr>
          <w:rFonts w:hint="eastAsia"/>
        </w:rPr>
        <w:t>日。</w:t>
      </w:r>
    </w:p>
  </w:footnote>
  <w:footnote w:id="67">
    <w:p w14:paraId="4D1868CF" w14:textId="77777777" w:rsidR="008810A2" w:rsidRDefault="00D921E0">
      <w:pPr>
        <w:pStyle w:val="afc"/>
      </w:pPr>
      <w:r>
        <w:rPr>
          <w:rStyle w:val="affe"/>
        </w:rPr>
        <w:footnoteRef/>
      </w:r>
      <w:r>
        <w:t xml:space="preserve"> IP</w:t>
      </w:r>
      <w:r>
        <w:rPr>
          <w:rFonts w:hint="eastAsia"/>
        </w:rPr>
        <w:t>：指知识产权，即</w:t>
      </w:r>
      <w:r>
        <w:t>Intellectual Property</w:t>
      </w:r>
      <w:r>
        <w:rPr>
          <w:rFonts w:hint="eastAsia"/>
        </w:rPr>
        <w:t>。</w:t>
      </w:r>
    </w:p>
  </w:footnote>
  <w:footnote w:id="68">
    <w:p w14:paraId="3C79BE31" w14:textId="77777777" w:rsidR="008810A2" w:rsidRDefault="00D921E0">
      <w:pPr>
        <w:pStyle w:val="afc"/>
      </w:pPr>
      <w:r>
        <w:rPr>
          <w:rStyle w:val="affe"/>
        </w:rPr>
        <w:footnoteRef/>
      </w:r>
      <w:r>
        <w:t xml:space="preserve"> </w:t>
      </w:r>
      <w:r>
        <w:rPr>
          <w:rFonts w:hint="eastAsia"/>
        </w:rPr>
        <w:t>来源：人民日报，</w:t>
      </w:r>
      <w:r>
        <w:t>http://paper.people.com.cn/rmrbhwb/images/2024-03/13/07/rmrbhwb2024031307.pdf</w:t>
      </w:r>
      <w:r>
        <w:rPr>
          <w:rFonts w:hint="eastAsia"/>
        </w:rPr>
        <w:t>，</w:t>
      </w:r>
      <w:r>
        <w:rPr>
          <w:rFonts w:hint="eastAsia"/>
        </w:rPr>
        <w:t>2</w:t>
      </w:r>
      <w:r>
        <w:t>024</w:t>
      </w:r>
      <w:r>
        <w:rPr>
          <w:rFonts w:hint="eastAsia"/>
        </w:rPr>
        <w:t>年</w:t>
      </w:r>
      <w:r>
        <w:rPr>
          <w:rFonts w:hint="eastAsia"/>
        </w:rPr>
        <w:t>3</w:t>
      </w:r>
      <w:r>
        <w:rPr>
          <w:rFonts w:hint="eastAsia"/>
        </w:rPr>
        <w:t>月</w:t>
      </w:r>
      <w:r>
        <w:rPr>
          <w:rFonts w:hint="eastAsia"/>
        </w:rPr>
        <w:t>1</w:t>
      </w:r>
      <w:r>
        <w:t>3</w:t>
      </w:r>
      <w:r>
        <w:rPr>
          <w:rFonts w:hint="eastAsia"/>
        </w:rPr>
        <w:t>日。</w:t>
      </w:r>
    </w:p>
  </w:footnote>
  <w:footnote w:id="69">
    <w:p w14:paraId="25823458" w14:textId="77777777" w:rsidR="008810A2" w:rsidRDefault="00D921E0">
      <w:pPr>
        <w:pStyle w:val="afc"/>
      </w:pPr>
      <w:r>
        <w:rPr>
          <w:rStyle w:val="affe"/>
        </w:rPr>
        <w:footnoteRef/>
      </w:r>
      <w:r>
        <w:t xml:space="preserve"> </w:t>
      </w:r>
      <w:r>
        <w:rPr>
          <w:rFonts w:hint="eastAsia"/>
        </w:rPr>
        <w:t>来源：阅文集团</w:t>
      </w:r>
      <w:r>
        <w:rPr>
          <w:rFonts w:hint="eastAsia"/>
        </w:rPr>
        <w:t>2</w:t>
      </w:r>
      <w:r>
        <w:t>023</w:t>
      </w:r>
      <w:r>
        <w:rPr>
          <w:rFonts w:hint="eastAsia"/>
        </w:rPr>
        <w:t>年度报告，</w:t>
      </w:r>
      <w:r>
        <w:t>https://ir-1253177085.cos.ap-hongkong.myqcloud.com/investment/20240424/6628d1ba50618.pdf</w:t>
      </w:r>
      <w:r>
        <w:rPr>
          <w:rFonts w:hint="eastAsia"/>
        </w:rPr>
        <w:t>，</w:t>
      </w:r>
      <w:r>
        <w:rPr>
          <w:rFonts w:hint="eastAsia"/>
        </w:rPr>
        <w:t>2</w:t>
      </w:r>
      <w:r>
        <w:t>024</w:t>
      </w:r>
      <w:r>
        <w:rPr>
          <w:rFonts w:hint="eastAsia"/>
        </w:rPr>
        <w:t>年</w:t>
      </w:r>
      <w:r>
        <w:rPr>
          <w:rFonts w:hint="eastAsia"/>
        </w:rPr>
        <w:t>3</w:t>
      </w:r>
      <w:r>
        <w:rPr>
          <w:rFonts w:hint="eastAsia"/>
        </w:rPr>
        <w:t>月</w:t>
      </w:r>
      <w:r>
        <w:rPr>
          <w:rFonts w:hint="eastAsia"/>
        </w:rPr>
        <w:t>1</w:t>
      </w:r>
      <w:r>
        <w:t>8</w:t>
      </w:r>
      <w:r>
        <w:rPr>
          <w:rFonts w:hint="eastAsia"/>
        </w:rPr>
        <w:t>日。</w:t>
      </w:r>
    </w:p>
  </w:footnote>
  <w:footnote w:id="70">
    <w:p w14:paraId="0F1EE5F2" w14:textId="77777777" w:rsidR="008810A2" w:rsidRDefault="00D921E0">
      <w:pPr>
        <w:pStyle w:val="afc"/>
      </w:pPr>
      <w:r>
        <w:rPr>
          <w:rStyle w:val="affe"/>
        </w:rPr>
        <w:footnoteRef/>
      </w:r>
      <w:r>
        <w:t xml:space="preserve"> </w:t>
      </w:r>
      <w:r>
        <w:rPr>
          <w:rFonts w:hint="eastAsia"/>
        </w:rPr>
        <w:t>来源：中国社会科学院文学研究所，</w:t>
      </w:r>
      <w:r>
        <w:t>http://literature.cass.cn/xjdt/202402/t20240227_5735047.shtml</w:t>
      </w:r>
      <w:r>
        <w:rPr>
          <w:rFonts w:hint="eastAsia"/>
        </w:rPr>
        <w:t>，</w:t>
      </w:r>
      <w:r>
        <w:rPr>
          <w:rFonts w:hint="eastAsia"/>
        </w:rPr>
        <w:t>2</w:t>
      </w:r>
      <w:r>
        <w:t>024</w:t>
      </w:r>
      <w:r>
        <w:rPr>
          <w:rFonts w:hint="eastAsia"/>
        </w:rPr>
        <w:t>年</w:t>
      </w:r>
      <w:r>
        <w:t>2</w:t>
      </w:r>
      <w:r>
        <w:rPr>
          <w:rFonts w:hint="eastAsia"/>
        </w:rPr>
        <w:t>月</w:t>
      </w:r>
      <w:r>
        <w:rPr>
          <w:rFonts w:hint="eastAsia"/>
        </w:rPr>
        <w:t>2</w:t>
      </w:r>
      <w:r>
        <w:t>7</w:t>
      </w:r>
      <w:r>
        <w:rPr>
          <w:rFonts w:hint="eastAsia"/>
        </w:rPr>
        <w:t>日。</w:t>
      </w:r>
    </w:p>
  </w:footnote>
  <w:footnote w:id="71">
    <w:p w14:paraId="2F681D74" w14:textId="77777777" w:rsidR="008810A2" w:rsidRDefault="00D921E0">
      <w:pPr>
        <w:pStyle w:val="afc"/>
      </w:pPr>
      <w:r>
        <w:rPr>
          <w:rStyle w:val="affe"/>
        </w:rPr>
        <w:footnoteRef/>
      </w:r>
      <w:r>
        <w:t xml:space="preserve"> </w:t>
      </w:r>
      <w:r>
        <w:rPr>
          <w:rFonts w:hint="eastAsia"/>
        </w:rPr>
        <w:t>来源：光明网，</w:t>
      </w:r>
      <w:r>
        <w:t>https://news.gmw.cn/2024-04/25/content_37284080.htm</w:t>
      </w:r>
      <w:r>
        <w:rPr>
          <w:rFonts w:hint="eastAsia"/>
        </w:rPr>
        <w:t>，</w:t>
      </w:r>
      <w:r>
        <w:rPr>
          <w:rFonts w:hint="eastAsia"/>
        </w:rPr>
        <w:t>2</w:t>
      </w:r>
      <w:r>
        <w:t>024</w:t>
      </w:r>
      <w:r>
        <w:rPr>
          <w:rFonts w:hint="eastAsia"/>
        </w:rPr>
        <w:t>年</w:t>
      </w:r>
      <w:r>
        <w:rPr>
          <w:rFonts w:hint="eastAsia"/>
        </w:rPr>
        <w:t>4</w:t>
      </w:r>
      <w:r>
        <w:rPr>
          <w:rFonts w:hint="eastAsia"/>
        </w:rPr>
        <w:t>月</w:t>
      </w:r>
      <w:r>
        <w:rPr>
          <w:rFonts w:hint="eastAsia"/>
        </w:rPr>
        <w:t>2</w:t>
      </w:r>
      <w:r>
        <w:t>5</w:t>
      </w:r>
      <w:r>
        <w:rPr>
          <w:rFonts w:hint="eastAsia"/>
        </w:rPr>
        <w:t>日。</w:t>
      </w:r>
    </w:p>
  </w:footnote>
  <w:footnote w:id="72">
    <w:p w14:paraId="483EA8E2" w14:textId="77777777" w:rsidR="008810A2" w:rsidRDefault="00D921E0">
      <w:pPr>
        <w:pStyle w:val="afc"/>
      </w:pPr>
      <w:r>
        <w:rPr>
          <w:rStyle w:val="affe"/>
        </w:rPr>
        <w:footnoteRef/>
      </w:r>
      <w:r>
        <w:t xml:space="preserve"> </w:t>
      </w:r>
      <w:r>
        <w:rPr>
          <w:rFonts w:hint="eastAsia"/>
        </w:rPr>
        <w:t>来源</w:t>
      </w:r>
      <w:r>
        <w:t>：</w:t>
      </w:r>
      <w:r>
        <w:rPr>
          <w:rFonts w:hint="eastAsia"/>
        </w:rPr>
        <w:t>交通运输部</w:t>
      </w:r>
      <w:r>
        <w:t>，</w:t>
      </w:r>
      <w:r>
        <w:t>https://www.mot.gov.cn/jiaotongyaowen/202407/t20240730_4145536.html?from=timeline</w:t>
      </w:r>
      <w:r>
        <w:rPr>
          <w:rFonts w:hint="eastAsia"/>
        </w:rPr>
        <w:t>，</w:t>
      </w:r>
      <w:r>
        <w:rPr>
          <w:rFonts w:hint="eastAsia"/>
        </w:rPr>
        <w:t>2024</w:t>
      </w:r>
      <w:r>
        <w:rPr>
          <w:rFonts w:hint="eastAsia"/>
        </w:rPr>
        <w:t>年</w:t>
      </w:r>
      <w:r>
        <w:t>7</w:t>
      </w:r>
      <w:r>
        <w:rPr>
          <w:rFonts w:hint="eastAsia"/>
        </w:rPr>
        <w:t>月</w:t>
      </w:r>
      <w:r>
        <w:rPr>
          <w:rFonts w:hint="eastAsia"/>
        </w:rPr>
        <w:t>30</w:t>
      </w:r>
      <w:r>
        <w:rPr>
          <w:rFonts w:hint="eastAsia"/>
        </w:rPr>
        <w:t>日。</w:t>
      </w:r>
    </w:p>
  </w:footnote>
  <w:footnote w:id="73">
    <w:p w14:paraId="26E1B35B" w14:textId="77777777" w:rsidR="008810A2" w:rsidRDefault="00D921E0">
      <w:pPr>
        <w:pStyle w:val="afc"/>
      </w:pPr>
      <w:r>
        <w:rPr>
          <w:rStyle w:val="affe"/>
        </w:rPr>
        <w:footnoteRef/>
      </w:r>
      <w:r>
        <w:t xml:space="preserve"> </w:t>
      </w:r>
      <w:r>
        <w:rPr>
          <w:rFonts w:hint="eastAsia"/>
        </w:rPr>
        <w:t>来源</w:t>
      </w:r>
      <w:r>
        <w:t>：</w:t>
      </w:r>
      <w:r>
        <w:rPr>
          <w:rFonts w:hint="eastAsia"/>
        </w:rPr>
        <w:t>滴滴</w:t>
      </w:r>
      <w:r>
        <w:rPr>
          <w:rFonts w:hint="eastAsia"/>
        </w:rPr>
        <w:t>2024</w:t>
      </w:r>
      <w:r>
        <w:rPr>
          <w:rFonts w:hint="eastAsia"/>
        </w:rPr>
        <w:t>年</w:t>
      </w:r>
      <w:r>
        <w:t>第一季度财报，</w:t>
      </w:r>
      <w:r>
        <w:t>https://s28.q4cdn.com/896456191/files/doc_financials/2024/DiDi_2024_Q1_Press_Release.pdf</w:t>
      </w:r>
      <w:r>
        <w:t>。</w:t>
      </w:r>
    </w:p>
  </w:footnote>
  <w:footnote w:id="74">
    <w:p w14:paraId="3BAA67F3" w14:textId="77777777" w:rsidR="008810A2" w:rsidRDefault="00D921E0">
      <w:pPr>
        <w:pStyle w:val="afc"/>
      </w:pPr>
      <w:r>
        <w:rPr>
          <w:rStyle w:val="affe"/>
        </w:rPr>
        <w:footnoteRef/>
      </w:r>
      <w:r>
        <w:t xml:space="preserve"> </w:t>
      </w:r>
      <w:r>
        <w:rPr>
          <w:rFonts w:hint="eastAsia"/>
        </w:rPr>
        <w:t>来源：国家卫生健康委员会，</w:t>
      </w:r>
      <w:r>
        <w:t>http://www.nhc.gov.cn/cms-search/xxgk/getManuscriptXxgk.htm?id=3d2d2cd7720541c0b7ce712f1a06db27</w:t>
      </w:r>
      <w:r>
        <w:t>，</w:t>
      </w:r>
      <w:r>
        <w:rPr>
          <w:rFonts w:hint="eastAsia"/>
        </w:rPr>
        <w:t>2</w:t>
      </w:r>
      <w:r>
        <w:t>024</w:t>
      </w:r>
      <w:r>
        <w:t>年</w:t>
      </w:r>
      <w:r>
        <w:rPr>
          <w:rFonts w:hint="eastAsia"/>
        </w:rPr>
        <w:t>2</w:t>
      </w:r>
      <w:r>
        <w:t>月</w:t>
      </w:r>
      <w:r>
        <w:rPr>
          <w:rFonts w:hint="eastAsia"/>
        </w:rPr>
        <w:t>2</w:t>
      </w:r>
      <w:r>
        <w:t>8</w:t>
      </w:r>
      <w:r>
        <w:rPr>
          <w:rFonts w:hint="eastAsia"/>
        </w:rPr>
        <w:t>日。</w:t>
      </w:r>
    </w:p>
  </w:footnote>
  <w:footnote w:id="75">
    <w:p w14:paraId="1362B078" w14:textId="77777777" w:rsidR="008810A2" w:rsidRDefault="00D921E0">
      <w:pPr>
        <w:pStyle w:val="afc"/>
      </w:pPr>
      <w:r>
        <w:rPr>
          <w:rStyle w:val="affe"/>
        </w:rPr>
        <w:footnoteRef/>
      </w:r>
      <w:r>
        <w:t xml:space="preserve"> </w:t>
      </w:r>
      <w:r>
        <w:rPr>
          <w:rFonts w:hint="eastAsia"/>
        </w:rPr>
        <w:t>来源：中国政府网，</w:t>
      </w:r>
      <w:r>
        <w:rPr>
          <w:rFonts w:hint="eastAsia"/>
        </w:rPr>
        <w:t>https://www.gov.cn/lianbo/bumen/202406/content_6958103.htm</w:t>
      </w:r>
      <w:r>
        <w:rPr>
          <w:rFonts w:hint="eastAsia"/>
        </w:rPr>
        <w:t>，</w:t>
      </w:r>
      <w:r>
        <w:rPr>
          <w:rFonts w:hint="eastAsia"/>
        </w:rPr>
        <w:t>2024</w:t>
      </w:r>
      <w:r>
        <w:rPr>
          <w:rFonts w:hint="eastAsia"/>
        </w:rPr>
        <w:t>年</w:t>
      </w:r>
      <w:r>
        <w:rPr>
          <w:rFonts w:hint="eastAsia"/>
        </w:rPr>
        <w:t>6</w:t>
      </w:r>
      <w:r>
        <w:rPr>
          <w:rFonts w:hint="eastAsia"/>
        </w:rPr>
        <w:t>月</w:t>
      </w:r>
      <w:r>
        <w:rPr>
          <w:rFonts w:hint="eastAsia"/>
        </w:rPr>
        <w:t>19</w:t>
      </w:r>
      <w:r>
        <w:rPr>
          <w:rFonts w:hint="eastAsia"/>
        </w:rPr>
        <w:t>日。</w:t>
      </w:r>
    </w:p>
  </w:footnote>
  <w:footnote w:id="76">
    <w:p w14:paraId="4C18A13E" w14:textId="77777777" w:rsidR="008810A2" w:rsidRDefault="00D921E0">
      <w:pPr>
        <w:pStyle w:val="afc"/>
      </w:pPr>
      <w:r>
        <w:rPr>
          <w:rStyle w:val="affe"/>
        </w:rPr>
        <w:footnoteRef/>
      </w:r>
      <w:r>
        <w:t xml:space="preserve"> </w:t>
      </w:r>
      <w:r>
        <w:rPr>
          <w:rFonts w:hint="eastAsia"/>
        </w:rPr>
        <w:t>来源：光明网，</w:t>
      </w:r>
      <w:r>
        <w:t>https://health.gmw.cn/2024-06/19/content_37408255.htm</w:t>
      </w:r>
      <w:r>
        <w:rPr>
          <w:rFonts w:hint="eastAsia"/>
        </w:rPr>
        <w:t>，</w:t>
      </w:r>
      <w:r>
        <w:rPr>
          <w:rFonts w:hint="eastAsia"/>
        </w:rPr>
        <w:t>2</w:t>
      </w:r>
      <w:r>
        <w:t>024</w:t>
      </w:r>
      <w:r>
        <w:rPr>
          <w:rFonts w:hint="eastAsia"/>
        </w:rPr>
        <w:t>年</w:t>
      </w:r>
      <w:r>
        <w:rPr>
          <w:rFonts w:hint="eastAsia"/>
        </w:rPr>
        <w:t>6</w:t>
      </w:r>
      <w:r>
        <w:rPr>
          <w:rFonts w:hint="eastAsia"/>
        </w:rPr>
        <w:t>月</w:t>
      </w:r>
      <w:r>
        <w:rPr>
          <w:rFonts w:hint="eastAsia"/>
        </w:rPr>
        <w:t>1</w:t>
      </w:r>
      <w:r>
        <w:t>9</w:t>
      </w:r>
      <w:r>
        <w:rPr>
          <w:rFonts w:hint="eastAsia"/>
        </w:rPr>
        <w:t>日。</w:t>
      </w:r>
    </w:p>
  </w:footnote>
  <w:footnote w:id="77">
    <w:p w14:paraId="67EEA375" w14:textId="77777777" w:rsidR="008810A2" w:rsidRDefault="00D921E0">
      <w:pPr>
        <w:pStyle w:val="afc"/>
      </w:pPr>
      <w:r>
        <w:rPr>
          <w:rStyle w:val="affe"/>
        </w:rPr>
        <w:footnoteRef/>
      </w:r>
      <w:r>
        <w:t xml:space="preserve"> </w:t>
      </w:r>
      <w:r>
        <w:rPr>
          <w:rFonts w:hint="eastAsia"/>
        </w:rPr>
        <w:t>来源：</w:t>
      </w:r>
      <w:r>
        <w:rPr>
          <w:rFonts w:hint="eastAsia"/>
        </w:rPr>
        <w:t>2</w:t>
      </w:r>
      <w:r>
        <w:t>1</w:t>
      </w:r>
      <w:r>
        <w:rPr>
          <w:rFonts w:hint="eastAsia"/>
        </w:rPr>
        <w:t>世纪经济报道，</w:t>
      </w:r>
      <w:r>
        <w:t>https://www.21jingji.com/article/20240110/herald/85273618b33bb4443f0a40e3f0868fa1.html</w:t>
      </w:r>
      <w:r>
        <w:rPr>
          <w:rFonts w:hint="eastAsia"/>
        </w:rPr>
        <w:t>，</w:t>
      </w:r>
      <w:r>
        <w:rPr>
          <w:rFonts w:hint="eastAsia"/>
        </w:rPr>
        <w:t>2</w:t>
      </w:r>
      <w:r>
        <w:t>024</w:t>
      </w:r>
      <w:r>
        <w:rPr>
          <w:rFonts w:hint="eastAsia"/>
        </w:rPr>
        <w:t>年</w:t>
      </w:r>
      <w:r>
        <w:rPr>
          <w:rFonts w:hint="eastAsia"/>
        </w:rPr>
        <w:t>1</w:t>
      </w:r>
      <w:r>
        <w:rPr>
          <w:rFonts w:hint="eastAsia"/>
        </w:rPr>
        <w:t>月</w:t>
      </w:r>
      <w:r>
        <w:rPr>
          <w:rFonts w:hint="eastAsia"/>
        </w:rPr>
        <w:t>1</w:t>
      </w:r>
      <w:r>
        <w:t>0</w:t>
      </w:r>
      <w:r>
        <w:rPr>
          <w:rFonts w:hint="eastAsia"/>
        </w:rPr>
        <w:t>日。</w:t>
      </w:r>
    </w:p>
  </w:footnote>
  <w:footnote w:id="78">
    <w:p w14:paraId="4901BAD6" w14:textId="77777777" w:rsidR="008810A2" w:rsidRDefault="00D921E0">
      <w:pPr>
        <w:pStyle w:val="afc"/>
      </w:pPr>
      <w:r>
        <w:rPr>
          <w:rStyle w:val="affe"/>
        </w:rPr>
        <w:footnoteRef/>
      </w:r>
      <w:r>
        <w:t xml:space="preserve"> </w:t>
      </w:r>
      <w:r>
        <w:rPr>
          <w:rFonts w:hint="eastAsia"/>
        </w:rPr>
        <w:t>来源：京东健康，</w:t>
      </w:r>
      <w:r>
        <w:t>https://cont.jd.com/pccontent/12099779</w:t>
      </w:r>
      <w:r>
        <w:rPr>
          <w:rFonts w:hint="eastAsia"/>
        </w:rPr>
        <w:t>，</w:t>
      </w:r>
      <w:r>
        <w:rPr>
          <w:rFonts w:hint="eastAsia"/>
        </w:rPr>
        <w:t>2</w:t>
      </w:r>
      <w:r>
        <w:t>024</w:t>
      </w:r>
      <w:r>
        <w:rPr>
          <w:rFonts w:hint="eastAsia"/>
        </w:rPr>
        <w:t>年</w:t>
      </w:r>
      <w:r>
        <w:rPr>
          <w:rFonts w:hint="eastAsia"/>
        </w:rPr>
        <w:t>1</w:t>
      </w:r>
      <w:r>
        <w:rPr>
          <w:rFonts w:hint="eastAsia"/>
        </w:rPr>
        <w:t>月</w:t>
      </w:r>
      <w:r>
        <w:rPr>
          <w:rFonts w:hint="eastAsia"/>
        </w:rPr>
        <w:t>1</w:t>
      </w:r>
      <w:r>
        <w:t>3</w:t>
      </w:r>
      <w:r>
        <w:rPr>
          <w:rFonts w:hint="eastAsia"/>
        </w:rPr>
        <w:t>日。</w:t>
      </w:r>
    </w:p>
  </w:footnote>
  <w:footnote w:id="79">
    <w:p w14:paraId="62697CD5" w14:textId="77777777" w:rsidR="008810A2" w:rsidRDefault="00D921E0">
      <w:pPr>
        <w:pStyle w:val="afc"/>
      </w:pPr>
      <w:r>
        <w:rPr>
          <w:rStyle w:val="affe"/>
        </w:rPr>
        <w:footnoteRef/>
      </w:r>
      <w:r>
        <w:t xml:space="preserve"> </w:t>
      </w:r>
      <w:r>
        <w:rPr>
          <w:rFonts w:hint="eastAsia"/>
        </w:rPr>
        <w:t>来源：人民日报，</w:t>
      </w:r>
      <w:r>
        <w:t>https://new.qq.com/rain/a/20230909A04YBL00</w:t>
      </w:r>
      <w:r>
        <w:rPr>
          <w:rFonts w:hint="eastAsia"/>
        </w:rPr>
        <w:t>，</w:t>
      </w:r>
      <w:r>
        <w:rPr>
          <w:rFonts w:hint="eastAsia"/>
        </w:rPr>
        <w:t>2</w:t>
      </w:r>
      <w:r>
        <w:t>023</w:t>
      </w:r>
      <w:r>
        <w:rPr>
          <w:rFonts w:hint="eastAsia"/>
        </w:rPr>
        <w:t>年</w:t>
      </w:r>
      <w:r>
        <w:rPr>
          <w:rFonts w:hint="eastAsia"/>
        </w:rPr>
        <w:t>9</w:t>
      </w:r>
      <w:r>
        <w:rPr>
          <w:rFonts w:hint="eastAsia"/>
        </w:rPr>
        <w:t>月</w:t>
      </w:r>
      <w:r>
        <w:rPr>
          <w:rFonts w:hint="eastAsia"/>
        </w:rPr>
        <w:t>9</w:t>
      </w:r>
      <w:r>
        <w:rPr>
          <w:rFonts w:hint="eastAsia"/>
        </w:rPr>
        <w:t>日。</w:t>
      </w:r>
    </w:p>
  </w:footnote>
  <w:footnote w:id="80">
    <w:p w14:paraId="03E6D019" w14:textId="77777777" w:rsidR="008810A2" w:rsidRDefault="00D921E0">
      <w:pPr>
        <w:pStyle w:val="afc"/>
      </w:pPr>
      <w:r>
        <w:rPr>
          <w:rStyle w:val="affe"/>
        </w:rPr>
        <w:footnoteRef/>
      </w:r>
      <w:r>
        <w:t xml:space="preserve"> </w:t>
      </w:r>
      <w:r>
        <w:rPr>
          <w:rFonts w:hint="eastAsia"/>
        </w:rPr>
        <w:t>本数据调查了生成式人工智能产品的用户使用情况，包括</w:t>
      </w:r>
      <w:r>
        <w:rPr>
          <w:rFonts w:hint="eastAsia"/>
        </w:rPr>
        <w:t>ChatGPT</w:t>
      </w:r>
      <w:r>
        <w:rPr>
          <w:rFonts w:hint="eastAsia"/>
        </w:rPr>
        <w:t>、文心一言、通义千问等。</w:t>
      </w:r>
    </w:p>
  </w:footnote>
  <w:footnote w:id="81">
    <w:p w14:paraId="48CA04F5" w14:textId="77777777" w:rsidR="008810A2" w:rsidRDefault="00D921E0">
      <w:pPr>
        <w:pStyle w:val="afc"/>
      </w:pPr>
      <w:r>
        <w:rPr>
          <w:rStyle w:val="affe"/>
        </w:rPr>
        <w:footnoteRef/>
      </w:r>
      <w:r>
        <w:t xml:space="preserve"> </w:t>
      </w:r>
      <w:r>
        <w:rPr>
          <w:rFonts w:hint="eastAsia"/>
        </w:rPr>
        <w:t>来源：通过各地方政府网站搜索“人工智能”相关政策文件，后经整理得到，统计时间为</w:t>
      </w:r>
      <w:r>
        <w:rPr>
          <w:rFonts w:hint="eastAsia"/>
        </w:rPr>
        <w:t>2022</w:t>
      </w:r>
      <w:r>
        <w:rPr>
          <w:rFonts w:hint="eastAsia"/>
        </w:rPr>
        <w:t>年</w:t>
      </w:r>
      <w:r>
        <w:rPr>
          <w:rFonts w:hint="eastAsia"/>
        </w:rPr>
        <w:t>1</w:t>
      </w:r>
      <w:r>
        <w:rPr>
          <w:rFonts w:hint="eastAsia"/>
        </w:rPr>
        <w:t>月</w:t>
      </w:r>
      <w:r>
        <w:rPr>
          <w:rFonts w:hint="eastAsia"/>
        </w:rPr>
        <w:t>1</w:t>
      </w:r>
      <w:r>
        <w:rPr>
          <w:rFonts w:hint="eastAsia"/>
        </w:rPr>
        <w:t>日至</w:t>
      </w:r>
      <w:r>
        <w:rPr>
          <w:rFonts w:hint="eastAsia"/>
        </w:rPr>
        <w:t>2024</w:t>
      </w:r>
      <w:r>
        <w:rPr>
          <w:rFonts w:hint="eastAsia"/>
        </w:rPr>
        <w:t>年</w:t>
      </w:r>
      <w:r>
        <w:rPr>
          <w:rFonts w:hint="eastAsia"/>
        </w:rPr>
        <w:t>6</w:t>
      </w:r>
      <w:r>
        <w:rPr>
          <w:rFonts w:hint="eastAsia"/>
        </w:rPr>
        <w:t>月</w:t>
      </w:r>
      <w:r>
        <w:rPr>
          <w:rFonts w:hint="eastAsia"/>
        </w:rPr>
        <w:t>30</w:t>
      </w:r>
      <w:r>
        <w:rPr>
          <w:rFonts w:hint="eastAsia"/>
        </w:rPr>
        <w:t>日。</w:t>
      </w:r>
    </w:p>
  </w:footnote>
  <w:footnote w:id="82">
    <w:p w14:paraId="092CF57C" w14:textId="77777777" w:rsidR="008810A2" w:rsidRDefault="00D921E0">
      <w:pPr>
        <w:pStyle w:val="afc"/>
      </w:pPr>
      <w:r>
        <w:rPr>
          <w:rStyle w:val="affe"/>
        </w:rPr>
        <w:footnoteRef/>
      </w:r>
      <w:r>
        <w:t xml:space="preserve"> </w:t>
      </w:r>
      <w:r>
        <w:rPr>
          <w:rFonts w:hint="eastAsia"/>
        </w:rPr>
        <w:t>来源：中国工信新闻网，</w:t>
      </w:r>
      <w:r>
        <w:t>https://www.cnii.com.cn/tx/202406/t20240621_579010.html</w:t>
      </w:r>
      <w:r>
        <w:t>，</w:t>
      </w:r>
      <w:r>
        <w:rPr>
          <w:rFonts w:hint="eastAsia"/>
        </w:rPr>
        <w:t>2024</w:t>
      </w:r>
      <w:r>
        <w:t>年</w:t>
      </w:r>
      <w:r>
        <w:rPr>
          <w:rFonts w:hint="eastAsia"/>
        </w:rPr>
        <w:t>6</w:t>
      </w:r>
      <w:r>
        <w:t>月</w:t>
      </w:r>
      <w:r>
        <w:rPr>
          <w:rFonts w:hint="eastAsia"/>
        </w:rPr>
        <w:t>21</w:t>
      </w:r>
      <w:r>
        <w:rPr>
          <w:rFonts w:hint="eastAsia"/>
        </w:rPr>
        <w:t>日。</w:t>
      </w:r>
    </w:p>
  </w:footnote>
  <w:footnote w:id="83">
    <w:p w14:paraId="1CD25EA8" w14:textId="77777777" w:rsidR="008810A2" w:rsidRDefault="00D921E0">
      <w:pPr>
        <w:pStyle w:val="afc"/>
      </w:pPr>
      <w:r>
        <w:rPr>
          <w:rStyle w:val="affe"/>
        </w:rPr>
        <w:footnoteRef/>
      </w:r>
      <w:r>
        <w:t xml:space="preserve"> </w:t>
      </w:r>
      <w:r>
        <w:rPr>
          <w:rFonts w:hint="eastAsia"/>
        </w:rPr>
        <w:t>来源：中国政府网，</w:t>
      </w:r>
      <w:r>
        <w:t>https://www.gov.cn/yaowen/liebiao/202406/content_6958471.htm</w:t>
      </w:r>
      <w:r>
        <w:t>，</w:t>
      </w:r>
      <w:r>
        <w:rPr>
          <w:rFonts w:hint="eastAsia"/>
        </w:rPr>
        <w:t>2024</w:t>
      </w:r>
      <w:r>
        <w:t>年</w:t>
      </w:r>
      <w:r>
        <w:rPr>
          <w:rFonts w:hint="eastAsia"/>
        </w:rPr>
        <w:t>6</w:t>
      </w:r>
      <w:r>
        <w:t>月</w:t>
      </w:r>
      <w:r>
        <w:rPr>
          <w:rFonts w:hint="eastAsia"/>
        </w:rPr>
        <w:t>20</w:t>
      </w:r>
      <w:r>
        <w:rPr>
          <w:rFonts w:hint="eastAsia"/>
        </w:rPr>
        <w:t>日。</w:t>
      </w:r>
    </w:p>
  </w:footnote>
  <w:footnote w:id="84">
    <w:p w14:paraId="4D8606E2" w14:textId="77777777" w:rsidR="008810A2" w:rsidRDefault="00D921E0">
      <w:pPr>
        <w:pStyle w:val="afc"/>
      </w:pPr>
      <w:r>
        <w:rPr>
          <w:rStyle w:val="affe"/>
        </w:rPr>
        <w:footnoteRef/>
      </w:r>
      <w:r>
        <w:t xml:space="preserve"> </w:t>
      </w:r>
      <w:r>
        <w:rPr>
          <w:rFonts w:hint="eastAsia"/>
        </w:rPr>
        <w:t>来源：中国政府网，</w:t>
      </w:r>
      <w:r>
        <w:t>https://www.gov.cn/lianbo/2023-04/11/content_5750947.htm</w:t>
      </w:r>
      <w:r>
        <w:t>，</w:t>
      </w:r>
      <w:r>
        <w:rPr>
          <w:rFonts w:hint="eastAsia"/>
        </w:rPr>
        <w:t>2023</w:t>
      </w:r>
      <w:r>
        <w:t>年</w:t>
      </w:r>
      <w:r>
        <w:rPr>
          <w:rFonts w:hint="eastAsia"/>
        </w:rPr>
        <w:t>4</w:t>
      </w:r>
      <w:r>
        <w:t>月</w:t>
      </w:r>
      <w:r>
        <w:rPr>
          <w:rFonts w:hint="eastAsia"/>
        </w:rPr>
        <w:t>11</w:t>
      </w:r>
      <w:r>
        <w:rPr>
          <w:rFonts w:hint="eastAsia"/>
        </w:rPr>
        <w:t>日。</w:t>
      </w:r>
    </w:p>
  </w:footnote>
  <w:footnote w:id="85">
    <w:p w14:paraId="29C2DA41" w14:textId="77777777" w:rsidR="008810A2" w:rsidRDefault="00D921E0">
      <w:pPr>
        <w:pStyle w:val="afc"/>
      </w:pPr>
      <w:r>
        <w:rPr>
          <w:rStyle w:val="affe"/>
        </w:rPr>
        <w:footnoteRef/>
      </w:r>
      <w:r>
        <w:t xml:space="preserve"> </w:t>
      </w:r>
      <w:r>
        <w:rPr>
          <w:rFonts w:hint="eastAsia"/>
        </w:rPr>
        <w:t>来源</w:t>
      </w:r>
      <w:r>
        <w:t>：工业和信息化部，</w:t>
      </w:r>
      <w:r>
        <w:t>https://www.miit.gov.cn/jgsj/yxj/xxfb/art/2024/art_0060ce31902143e9bbe4a51e3377de37.html</w:t>
      </w:r>
      <w:r>
        <w:rPr>
          <w:rFonts w:hint="eastAsia"/>
        </w:rPr>
        <w:t>，</w:t>
      </w:r>
      <w:r>
        <w:t>2024</w:t>
      </w:r>
      <w:r>
        <w:rPr>
          <w:rFonts w:hint="eastAsia"/>
        </w:rPr>
        <w:t>年</w:t>
      </w:r>
      <w:r>
        <w:rPr>
          <w:rFonts w:hint="eastAsia"/>
        </w:rPr>
        <w:t>7</w:t>
      </w:r>
      <w:r>
        <w:rPr>
          <w:rFonts w:hint="eastAsia"/>
        </w:rPr>
        <w:t>月</w:t>
      </w:r>
      <w:r>
        <w:rPr>
          <w:rFonts w:hint="eastAsia"/>
        </w:rPr>
        <w:t>31</w:t>
      </w:r>
      <w:r>
        <w:rPr>
          <w:rFonts w:hint="eastAsia"/>
        </w:rPr>
        <w:t>日。</w:t>
      </w:r>
    </w:p>
  </w:footnote>
  <w:footnote w:id="86">
    <w:p w14:paraId="333BB466" w14:textId="77777777" w:rsidR="008810A2" w:rsidRDefault="00D921E0">
      <w:pPr>
        <w:pStyle w:val="afc"/>
      </w:pPr>
      <w:r>
        <w:rPr>
          <w:rStyle w:val="affe"/>
        </w:rPr>
        <w:footnoteRef/>
      </w:r>
      <w:r>
        <w:t xml:space="preserve"> </w:t>
      </w:r>
      <w:r>
        <w:rPr>
          <w:rFonts w:hint="eastAsia"/>
        </w:rPr>
        <w:t>互联网上市企业：指在沪深两市、香港以及美国上市的互联网业务营收比例达到</w:t>
      </w:r>
      <w:r>
        <w:rPr>
          <w:rFonts w:hint="eastAsia"/>
        </w:rPr>
        <w:t>50%</w:t>
      </w:r>
      <w:r>
        <w:rPr>
          <w:rFonts w:hint="eastAsia"/>
        </w:rPr>
        <w:t>以上的上市企业。其中，互联网业务包括互联网广告和网络营销、个人互联网增值服务、网络游戏、电子商务等。定义的标准同时参考其营收过程是否主要依赖互联网产品，包括移动互联网操作系统、移动互联网</w:t>
      </w:r>
      <w:r>
        <w:rPr>
          <w:rFonts w:hint="eastAsia"/>
        </w:rPr>
        <w:t>App</w:t>
      </w:r>
      <w:r>
        <w:rPr>
          <w:rFonts w:hint="eastAsia"/>
        </w:rPr>
        <w:t>和传统</w:t>
      </w:r>
      <w:r>
        <w:rPr>
          <w:rFonts w:hint="eastAsia"/>
        </w:rPr>
        <w:t>PC</w:t>
      </w:r>
      <w:r>
        <w:rPr>
          <w:rFonts w:hint="eastAsia"/>
        </w:rPr>
        <w:t>互联网网站等。</w:t>
      </w:r>
    </w:p>
  </w:footnote>
  <w:footnote w:id="87">
    <w:p w14:paraId="14847D28" w14:textId="77777777" w:rsidR="008810A2" w:rsidRDefault="00D921E0">
      <w:pPr>
        <w:pStyle w:val="afc"/>
      </w:pPr>
      <w:r>
        <w:rPr>
          <w:rStyle w:val="affe"/>
        </w:rPr>
        <w:footnoteRef/>
      </w:r>
      <w:r>
        <w:t xml:space="preserve"> </w:t>
      </w:r>
      <w:r>
        <w:rPr>
          <w:rFonts w:hint="eastAsia"/>
        </w:rPr>
        <w:t>该数据含二次上市企业，为未去重数据。</w:t>
      </w:r>
    </w:p>
  </w:footnote>
  <w:footnote w:id="88">
    <w:p w14:paraId="39C221AD" w14:textId="77777777" w:rsidR="008810A2" w:rsidRDefault="00D921E0">
      <w:pPr>
        <w:pStyle w:val="afc"/>
      </w:pPr>
      <w:r>
        <w:rPr>
          <w:rStyle w:val="affe"/>
        </w:rPr>
        <w:footnoteRef/>
      </w:r>
      <w:r>
        <w:t xml:space="preserve"> </w:t>
      </w:r>
      <w:r>
        <w:rPr>
          <w:rFonts w:hint="eastAsia"/>
        </w:rPr>
        <w:t>来源</w:t>
      </w:r>
      <w:r>
        <w:t>：阿里巴巴，</w:t>
      </w:r>
      <w:r>
        <w:t>https://www.alibabagroup.com/document-1726694664490188800</w:t>
      </w:r>
      <w:r>
        <w:rPr>
          <w:rFonts w:hint="eastAsia"/>
        </w:rPr>
        <w:t>，</w:t>
      </w:r>
      <w:r>
        <w:rPr>
          <w:rFonts w:hint="eastAsia"/>
        </w:rPr>
        <w:t>2024</w:t>
      </w:r>
      <w:r>
        <w:rPr>
          <w:rFonts w:hint="eastAsia"/>
        </w:rPr>
        <w:t>年</w:t>
      </w:r>
      <w:r>
        <w:rPr>
          <w:rFonts w:hint="eastAsia"/>
        </w:rPr>
        <w:t>5</w:t>
      </w:r>
      <w:r>
        <w:rPr>
          <w:rFonts w:hint="eastAsia"/>
        </w:rPr>
        <w:t>月</w:t>
      </w:r>
      <w:r>
        <w:rPr>
          <w:rFonts w:hint="eastAsia"/>
        </w:rPr>
        <w:t>14</w:t>
      </w:r>
      <w:r>
        <w:rPr>
          <w:rFonts w:hint="eastAsia"/>
        </w:rPr>
        <w:t>日。</w:t>
      </w:r>
    </w:p>
  </w:footnote>
  <w:footnote w:id="89">
    <w:p w14:paraId="6792C1E3" w14:textId="77777777" w:rsidR="008810A2" w:rsidRDefault="00D921E0">
      <w:pPr>
        <w:pStyle w:val="afc"/>
      </w:pPr>
      <w:r>
        <w:rPr>
          <w:rStyle w:val="affe"/>
        </w:rPr>
        <w:footnoteRef/>
      </w:r>
      <w:r>
        <w:t xml:space="preserve"> </w:t>
      </w:r>
      <w:r>
        <w:rPr>
          <w:rFonts w:hint="eastAsia"/>
        </w:rPr>
        <w:t>来源</w:t>
      </w:r>
      <w:r>
        <w:t>：</w:t>
      </w:r>
      <w:r>
        <w:rPr>
          <w:rFonts w:hint="eastAsia"/>
        </w:rPr>
        <w:t>同上。</w:t>
      </w:r>
    </w:p>
  </w:footnote>
  <w:footnote w:id="90">
    <w:p w14:paraId="04250BB8" w14:textId="77777777" w:rsidR="008810A2" w:rsidRDefault="00D921E0">
      <w:pPr>
        <w:pStyle w:val="afc"/>
      </w:pPr>
      <w:r>
        <w:rPr>
          <w:rStyle w:val="affe"/>
        </w:rPr>
        <w:footnoteRef/>
      </w:r>
      <w:r>
        <w:t xml:space="preserve"> </w:t>
      </w:r>
      <w:r>
        <w:rPr>
          <w:rFonts w:hint="eastAsia"/>
        </w:rPr>
        <w:t>来源：中国工业新闻网，</w:t>
      </w:r>
      <w:r>
        <w:t>https://www.cinn.cn/p/314264.html</w:t>
      </w:r>
      <w:r>
        <w:rPr>
          <w:rFonts w:hint="eastAsia"/>
        </w:rPr>
        <w:t>，</w:t>
      </w:r>
      <w:r>
        <w:rPr>
          <w:rFonts w:hint="eastAsia"/>
        </w:rPr>
        <w:t>2024</w:t>
      </w:r>
      <w:r>
        <w:rPr>
          <w:rFonts w:hint="eastAsia"/>
        </w:rPr>
        <w:t>年</w:t>
      </w:r>
      <w:r>
        <w:rPr>
          <w:rFonts w:hint="eastAsia"/>
        </w:rPr>
        <w:t>7</w:t>
      </w:r>
      <w:r>
        <w:rPr>
          <w:rFonts w:hint="eastAsia"/>
        </w:rPr>
        <w:t>月</w:t>
      </w:r>
      <w:r>
        <w:rPr>
          <w:rFonts w:hint="eastAsia"/>
        </w:rPr>
        <w:t>30</w:t>
      </w:r>
      <w:r>
        <w:rPr>
          <w:rFonts w:hint="eastAsia"/>
        </w:rPr>
        <w:t>日。</w:t>
      </w:r>
    </w:p>
  </w:footnote>
  <w:footnote w:id="91">
    <w:p w14:paraId="1C3F34B0" w14:textId="77777777" w:rsidR="008810A2" w:rsidRDefault="00D921E0">
      <w:pPr>
        <w:pStyle w:val="afc"/>
      </w:pPr>
      <w:r>
        <w:rPr>
          <w:rStyle w:val="affe"/>
        </w:rPr>
        <w:footnoteRef/>
      </w:r>
      <w:r>
        <w:t xml:space="preserve"> </w:t>
      </w:r>
      <w:r>
        <w:rPr>
          <w:rFonts w:hint="eastAsia"/>
        </w:rPr>
        <w:t>来源：商务部，</w:t>
      </w:r>
      <w:r>
        <w:t>https://www.mofcom.gov.cn/xwfb/sjfzrfb/art/2024/art_30f268dd7a3e4196a31fcef3ac1339ee.html</w:t>
      </w:r>
      <w:r>
        <w:t>，</w:t>
      </w:r>
      <w:r>
        <w:rPr>
          <w:rFonts w:hint="eastAsia"/>
        </w:rPr>
        <w:t>2024</w:t>
      </w:r>
      <w:r>
        <w:t>年</w:t>
      </w:r>
      <w:r>
        <w:rPr>
          <w:rFonts w:hint="eastAsia"/>
        </w:rPr>
        <w:t>6</w:t>
      </w:r>
      <w:r>
        <w:t>月</w:t>
      </w:r>
      <w:r>
        <w:rPr>
          <w:rFonts w:hint="eastAsia"/>
        </w:rPr>
        <w:t>25</w:t>
      </w:r>
      <w:r>
        <w:rPr>
          <w:rFonts w:hint="eastAsia"/>
        </w:rPr>
        <w:t>日。</w:t>
      </w:r>
    </w:p>
  </w:footnote>
  <w:footnote w:id="92">
    <w:p w14:paraId="3FD5092C" w14:textId="77777777" w:rsidR="008810A2" w:rsidRDefault="00D921E0">
      <w:pPr>
        <w:pStyle w:val="afc"/>
      </w:pPr>
      <w:r>
        <w:rPr>
          <w:rStyle w:val="affe"/>
        </w:rPr>
        <w:footnoteRef/>
      </w:r>
      <w:r>
        <w:t xml:space="preserve"> </w:t>
      </w:r>
      <w:r>
        <w:rPr>
          <w:rFonts w:hint="eastAsia"/>
        </w:rPr>
        <w:t>来源：商务部，</w:t>
      </w:r>
      <w:r>
        <w:t>https://www.mofcom.gov.cn/xwfb/sjfzrfb/art/2024/art_56db58d4b1d14551b940652a8e65d559.html</w:t>
      </w:r>
      <w:r>
        <w:t>，</w:t>
      </w:r>
      <w:r>
        <w:rPr>
          <w:rFonts w:hint="eastAsia"/>
        </w:rPr>
        <w:t>2024</w:t>
      </w:r>
      <w:r>
        <w:t>年</w:t>
      </w:r>
      <w:r>
        <w:rPr>
          <w:rFonts w:hint="eastAsia"/>
        </w:rPr>
        <w:t>7</w:t>
      </w:r>
      <w:r>
        <w:t>月</w:t>
      </w:r>
      <w:r>
        <w:rPr>
          <w:rFonts w:hint="eastAsia"/>
        </w:rPr>
        <w:t>19</w:t>
      </w:r>
      <w:r>
        <w:rPr>
          <w:rFonts w:hint="eastAsia"/>
        </w:rPr>
        <w:t>日。</w:t>
      </w:r>
    </w:p>
  </w:footnote>
  <w:footnote w:id="93">
    <w:p w14:paraId="6ACDB087" w14:textId="77777777" w:rsidR="008810A2" w:rsidRDefault="00D921E0">
      <w:pPr>
        <w:pStyle w:val="afc"/>
      </w:pPr>
      <w:r>
        <w:rPr>
          <w:rStyle w:val="affe"/>
        </w:rPr>
        <w:footnoteRef/>
      </w:r>
      <w:r>
        <w:t xml:space="preserve"> </w:t>
      </w:r>
      <w:r>
        <w:rPr>
          <w:rFonts w:hint="eastAsia"/>
        </w:rPr>
        <w:t>来源：商务部，</w:t>
      </w:r>
      <w:r>
        <w:t>https://www.mofcom.gov.cn/xwfb/sjfzrfb/art/2024/art_56db58d4b1d14551b940652a8e65d559.html</w:t>
      </w:r>
      <w:r>
        <w:t>，</w:t>
      </w:r>
      <w:r>
        <w:rPr>
          <w:rFonts w:hint="eastAsia"/>
        </w:rPr>
        <w:t>2024</w:t>
      </w:r>
      <w:r>
        <w:t>年</w:t>
      </w:r>
      <w:r>
        <w:rPr>
          <w:rFonts w:hint="eastAsia"/>
        </w:rPr>
        <w:t>7</w:t>
      </w:r>
      <w:r>
        <w:t>月</w:t>
      </w:r>
      <w:r>
        <w:rPr>
          <w:rFonts w:hint="eastAsia"/>
        </w:rPr>
        <w:t>19</w:t>
      </w:r>
      <w:r>
        <w:rPr>
          <w:rFonts w:hint="eastAsia"/>
        </w:rPr>
        <w:t>日。</w:t>
      </w:r>
    </w:p>
  </w:footnote>
  <w:footnote w:id="94">
    <w:p w14:paraId="6FFA192F" w14:textId="77777777" w:rsidR="008810A2" w:rsidRDefault="00D921E0">
      <w:pPr>
        <w:pStyle w:val="afc"/>
      </w:pPr>
      <w:r>
        <w:rPr>
          <w:rStyle w:val="affe"/>
        </w:rPr>
        <w:footnoteRef/>
      </w:r>
      <w:r>
        <w:t xml:space="preserve"> </w:t>
      </w:r>
      <w:r>
        <w:rPr>
          <w:rFonts w:hint="eastAsia"/>
        </w:rPr>
        <w:t>来源：同上。</w:t>
      </w:r>
    </w:p>
  </w:footnote>
  <w:footnote w:id="95">
    <w:p w14:paraId="68A520E0" w14:textId="77777777" w:rsidR="008810A2" w:rsidRDefault="00D921E0">
      <w:pPr>
        <w:pStyle w:val="afc"/>
      </w:pPr>
      <w:r>
        <w:rPr>
          <w:rStyle w:val="affe"/>
        </w:rPr>
        <w:footnoteRef/>
      </w:r>
      <w:r>
        <w:t xml:space="preserve"> </w:t>
      </w:r>
      <w:r>
        <w:rPr>
          <w:rFonts w:hint="eastAsia"/>
        </w:rPr>
        <w:t>来源：中国互联网络信息中心《互联网助力数字消费发展蓝皮书》</w:t>
      </w:r>
      <w:r>
        <w:rPr>
          <w:rFonts w:hint="eastAsia"/>
        </w:rPr>
        <w:t>2024</w:t>
      </w:r>
      <w:r>
        <w:rPr>
          <w:rFonts w:hint="eastAsia"/>
        </w:rPr>
        <w:t>年</w:t>
      </w:r>
      <w:r>
        <w:rPr>
          <w:rFonts w:hint="eastAsia"/>
        </w:rPr>
        <w:t>6</w:t>
      </w:r>
      <w:r>
        <w:rPr>
          <w:rFonts w:hint="eastAsia"/>
        </w:rPr>
        <w:t>月。</w:t>
      </w:r>
    </w:p>
  </w:footnote>
  <w:footnote w:id="96">
    <w:p w14:paraId="21EB1482" w14:textId="77777777" w:rsidR="008810A2" w:rsidRDefault="00D921E0">
      <w:pPr>
        <w:pStyle w:val="afc"/>
      </w:pPr>
      <w:r>
        <w:rPr>
          <w:rStyle w:val="affe"/>
        </w:rPr>
        <w:footnoteRef/>
      </w:r>
      <w:r>
        <w:t xml:space="preserve"> </w:t>
      </w:r>
      <w:r>
        <w:rPr>
          <w:rFonts w:hint="eastAsia"/>
        </w:rPr>
        <w:t>来源：中国政府网，</w:t>
      </w:r>
      <w:r>
        <w:t>https://www.gov.cn/yaowen/liebiao/202408/content_6965858.htm</w:t>
      </w:r>
      <w:r>
        <w:rPr>
          <w:rFonts w:hint="eastAsia"/>
        </w:rPr>
        <w:t>，</w:t>
      </w:r>
      <w:r>
        <w:t>2024</w:t>
      </w:r>
      <w:r>
        <w:rPr>
          <w:rFonts w:hint="eastAsia"/>
        </w:rPr>
        <w:t>年</w:t>
      </w:r>
      <w:r>
        <w:rPr>
          <w:rFonts w:hint="eastAsia"/>
        </w:rPr>
        <w:t>8</w:t>
      </w:r>
      <w:r>
        <w:rPr>
          <w:rFonts w:hint="eastAsia"/>
        </w:rPr>
        <w:t>月</w:t>
      </w:r>
      <w:r>
        <w:rPr>
          <w:rFonts w:hint="eastAsia"/>
        </w:rPr>
        <w:t>1</w:t>
      </w:r>
      <w:r>
        <w:rPr>
          <w:rFonts w:hint="eastAsia"/>
        </w:rPr>
        <w:t>日。</w:t>
      </w:r>
    </w:p>
  </w:footnote>
  <w:footnote w:id="97">
    <w:p w14:paraId="527E7E9D" w14:textId="77777777" w:rsidR="008810A2" w:rsidRDefault="00D921E0">
      <w:pPr>
        <w:pStyle w:val="afc"/>
      </w:pPr>
      <w:r>
        <w:rPr>
          <w:rStyle w:val="affe"/>
        </w:rPr>
        <w:footnoteRef/>
      </w:r>
      <w:r>
        <w:t xml:space="preserve"> </w:t>
      </w:r>
      <w:r>
        <w:rPr>
          <w:rFonts w:hint="eastAsia"/>
        </w:rPr>
        <w:t>来源：全国电子商务公共服务网，</w:t>
      </w:r>
      <w:r>
        <w:t>https://dzswgf.mofcom.gov.cn/news/5/2024/8/1722474197770.html</w:t>
      </w:r>
      <w:r>
        <w:t>，</w:t>
      </w:r>
      <w:r>
        <w:rPr>
          <w:rFonts w:hint="eastAsia"/>
        </w:rPr>
        <w:t>2024</w:t>
      </w:r>
      <w:r>
        <w:t>年</w:t>
      </w:r>
      <w:r>
        <w:rPr>
          <w:rFonts w:hint="eastAsia"/>
        </w:rPr>
        <w:t>7</w:t>
      </w:r>
      <w:r>
        <w:t>月</w:t>
      </w:r>
      <w:r>
        <w:rPr>
          <w:rFonts w:hint="eastAsia"/>
        </w:rPr>
        <w:t>31</w:t>
      </w:r>
      <w:r>
        <w:rPr>
          <w:rFonts w:hint="eastAsia"/>
        </w:rPr>
        <w:t>日。</w:t>
      </w:r>
    </w:p>
  </w:footnote>
  <w:footnote w:id="98">
    <w:p w14:paraId="59CC4080" w14:textId="77777777" w:rsidR="008810A2" w:rsidRDefault="00D921E0">
      <w:pPr>
        <w:pStyle w:val="afc"/>
      </w:pPr>
      <w:r>
        <w:rPr>
          <w:rStyle w:val="affe"/>
        </w:rPr>
        <w:footnoteRef/>
      </w:r>
      <w:r>
        <w:t xml:space="preserve"> </w:t>
      </w:r>
      <w:r>
        <w:rPr>
          <w:rFonts w:hint="eastAsia"/>
        </w:rPr>
        <w:t>来源：中国互联网络信息中心《互联网助力数字消费发展蓝皮书》</w:t>
      </w:r>
      <w:r>
        <w:rPr>
          <w:rFonts w:hint="eastAsia"/>
        </w:rPr>
        <w:t>2024</w:t>
      </w:r>
      <w:r>
        <w:rPr>
          <w:rFonts w:hint="eastAsia"/>
        </w:rPr>
        <w:t>年</w:t>
      </w:r>
      <w:r>
        <w:rPr>
          <w:rFonts w:hint="eastAsia"/>
        </w:rPr>
        <w:t>6</w:t>
      </w:r>
      <w:r>
        <w:rPr>
          <w:rFonts w:hint="eastAsia"/>
        </w:rPr>
        <w:t>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B957" w14:textId="77777777" w:rsidR="008810A2" w:rsidRDefault="008810A2">
    <w:pPr>
      <w:ind w:left="420" w:firstLineChars="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390E" w14:textId="77777777" w:rsidR="008810A2" w:rsidRDefault="00D921E0">
    <w:pPr>
      <w:pStyle w:val="af8"/>
      <w:spacing w:line="240" w:lineRule="auto"/>
      <w:ind w:firstLineChars="0" w:firstLine="0"/>
      <w:jc w:val="left"/>
    </w:pPr>
    <w:r>
      <w:rPr>
        <w:noProof/>
      </w:rPr>
      <w:drawing>
        <wp:inline distT="0" distB="0" distL="0" distR="0" wp14:anchorId="79CC8484" wp14:editId="3604AD2C">
          <wp:extent cx="2137410" cy="174625"/>
          <wp:effectExtent l="0" t="0" r="11430" b="8255"/>
          <wp:docPr id="2133878500" name="图片 2133878500"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78500" name="图片 2133878500"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DD89" w14:textId="77777777" w:rsidR="008810A2" w:rsidRDefault="00D921E0">
    <w:pPr>
      <w:pStyle w:val="af8"/>
      <w:spacing w:line="240" w:lineRule="auto"/>
      <w:ind w:firstLineChars="0" w:firstLine="0"/>
      <w:jc w:val="right"/>
    </w:pPr>
    <w:r>
      <w:rPr>
        <w:noProof/>
      </w:rPr>
      <w:drawing>
        <wp:inline distT="0" distB="0" distL="0" distR="0" wp14:anchorId="6C743624" wp14:editId="414DF605">
          <wp:extent cx="2137410" cy="174625"/>
          <wp:effectExtent l="0" t="0" r="11430" b="8255"/>
          <wp:docPr id="1693205054" name="图片 169320505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05054" name="图片 169320505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F9ED" w14:textId="77777777" w:rsidR="008810A2" w:rsidRDefault="008810A2">
    <w:pPr>
      <w:pStyle w:val="af8"/>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108A" w14:textId="77777777" w:rsidR="008810A2" w:rsidRDefault="00D921E0">
    <w:pPr>
      <w:pStyle w:val="af8"/>
      <w:spacing w:line="240" w:lineRule="auto"/>
      <w:ind w:firstLineChars="0" w:firstLine="0"/>
      <w:jc w:val="left"/>
    </w:pPr>
    <w:r>
      <w:rPr>
        <w:noProof/>
      </w:rPr>
      <w:drawing>
        <wp:inline distT="0" distB="0" distL="0" distR="0" wp14:anchorId="722E5281" wp14:editId="76201C84">
          <wp:extent cx="2137410" cy="174625"/>
          <wp:effectExtent l="0" t="0" r="11430" b="8255"/>
          <wp:docPr id="557941342" name="图片 55794134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41342" name="图片 557941342"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6311" w14:textId="77777777" w:rsidR="008810A2" w:rsidRDefault="00D921E0">
    <w:pPr>
      <w:pStyle w:val="af8"/>
      <w:spacing w:line="240" w:lineRule="auto"/>
      <w:ind w:firstLineChars="0" w:firstLine="0"/>
      <w:jc w:val="right"/>
    </w:pPr>
    <w:r>
      <w:rPr>
        <w:noProof/>
      </w:rPr>
      <w:drawing>
        <wp:inline distT="0" distB="0" distL="0" distR="0" wp14:anchorId="48F2E552" wp14:editId="29544DE3">
          <wp:extent cx="2137410" cy="174625"/>
          <wp:effectExtent l="0" t="0" r="11430" b="8255"/>
          <wp:docPr id="916309738" name="图片 916309738"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09738" name="图片 916309738"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4D13" w14:textId="77777777" w:rsidR="008810A2" w:rsidRDefault="008810A2">
    <w:pPr>
      <w:pStyle w:val="af8"/>
      <w:ind w:firstLine="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1432" w14:textId="77777777" w:rsidR="008810A2" w:rsidRDefault="00D921E0">
    <w:pPr>
      <w:pStyle w:val="af8"/>
      <w:spacing w:line="240" w:lineRule="auto"/>
      <w:ind w:firstLineChars="0" w:firstLine="0"/>
      <w:jc w:val="left"/>
    </w:pPr>
    <w:r>
      <w:rPr>
        <w:noProof/>
      </w:rPr>
      <w:drawing>
        <wp:inline distT="0" distB="0" distL="0" distR="0" wp14:anchorId="223CC1CD" wp14:editId="0FE3A221">
          <wp:extent cx="2137410" cy="174625"/>
          <wp:effectExtent l="0" t="0" r="11430" b="8255"/>
          <wp:docPr id="1891925969" name="图片 1891925969"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25969" name="图片 1891925969"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F5E2" w14:textId="77777777" w:rsidR="008810A2" w:rsidRDefault="00D921E0">
    <w:pPr>
      <w:pStyle w:val="af8"/>
      <w:spacing w:line="240" w:lineRule="auto"/>
      <w:ind w:firstLineChars="0" w:firstLine="0"/>
      <w:jc w:val="right"/>
    </w:pPr>
    <w:r>
      <w:rPr>
        <w:noProof/>
      </w:rPr>
      <w:drawing>
        <wp:inline distT="0" distB="0" distL="0" distR="0" wp14:anchorId="2ACF787F" wp14:editId="744E75ED">
          <wp:extent cx="2137410" cy="174625"/>
          <wp:effectExtent l="0" t="0" r="11430" b="8255"/>
          <wp:docPr id="230999309" name="图片 230999309"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99309" name="图片 230999309"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D3A3" w14:textId="77777777" w:rsidR="008810A2" w:rsidRDefault="008810A2">
    <w:pPr>
      <w:pStyle w:val="af8"/>
      <w:ind w:firstLine="3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112C" w14:textId="77777777" w:rsidR="008810A2" w:rsidRDefault="00D921E0">
    <w:pPr>
      <w:pStyle w:val="af8"/>
      <w:spacing w:line="240" w:lineRule="auto"/>
      <w:ind w:firstLineChars="0" w:firstLine="0"/>
      <w:jc w:val="left"/>
    </w:pPr>
    <w:r>
      <w:rPr>
        <w:noProof/>
      </w:rPr>
      <w:drawing>
        <wp:inline distT="0" distB="0" distL="0" distR="0" wp14:anchorId="010F047B" wp14:editId="382B8E11">
          <wp:extent cx="2137410" cy="174625"/>
          <wp:effectExtent l="19050" t="0" r="0" b="0"/>
          <wp:docPr id="1689568832" name="图片 168956883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68832" name="图片 1689568832"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71892" w14:textId="77777777" w:rsidR="008810A2" w:rsidRDefault="008810A2">
    <w:pPr>
      <w:ind w:left="420" w:firstLineChars="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4972" w14:textId="77777777" w:rsidR="008810A2" w:rsidRDefault="00D921E0">
    <w:pPr>
      <w:pStyle w:val="af8"/>
      <w:spacing w:line="240" w:lineRule="auto"/>
      <w:ind w:firstLineChars="0" w:firstLine="0"/>
      <w:jc w:val="right"/>
    </w:pPr>
    <w:r>
      <w:rPr>
        <w:noProof/>
      </w:rPr>
      <w:drawing>
        <wp:inline distT="0" distB="0" distL="0" distR="0" wp14:anchorId="79F60288" wp14:editId="6DCC1756">
          <wp:extent cx="2137410" cy="174625"/>
          <wp:effectExtent l="19050" t="0" r="0" b="0"/>
          <wp:docPr id="1689568834" name="图片 168956883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68834" name="图片 168956883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063B" w14:textId="77777777" w:rsidR="008810A2" w:rsidRDefault="00000000">
    <w:pPr>
      <w:pStyle w:val="af8"/>
      <w:ind w:firstLine="360"/>
    </w:pPr>
    <w:r>
      <w:pict w14:anchorId="1BB96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83708" o:spid="_x0000_s1046" type="#_x0000_t136" style="position:absolute;left:0;text-align:left;margin-left:0;margin-top:0;width:503.45pt;height:82pt;rotation:315;z-index:-25163980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仅供专家参考"/>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D53A" w14:textId="77777777" w:rsidR="008810A2" w:rsidRDefault="00000000">
    <w:pPr>
      <w:pStyle w:val="af8"/>
      <w:ind w:firstLine="360"/>
    </w:pPr>
    <w:r>
      <w:pict w14:anchorId="010E7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83687" o:spid="_x0000_s1025" type="#_x0000_t136" style="position:absolute;left:0;text-align:left;margin-left:0;margin-top:0;width:503.45pt;height:82pt;rotation:315;z-index:-25164697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仅供专家参考"/>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CC71" w14:textId="77777777" w:rsidR="008810A2" w:rsidRDefault="00D921E0">
    <w:pPr>
      <w:pStyle w:val="af8"/>
      <w:spacing w:line="240" w:lineRule="auto"/>
      <w:ind w:firstLineChars="0" w:firstLine="0"/>
      <w:jc w:val="left"/>
    </w:pPr>
    <w:r>
      <w:rPr>
        <w:noProof/>
      </w:rPr>
      <w:drawing>
        <wp:inline distT="0" distB="0" distL="0" distR="0" wp14:anchorId="331A9EFC" wp14:editId="1F51F873">
          <wp:extent cx="2137410" cy="174625"/>
          <wp:effectExtent l="19050" t="0" r="0" b="0"/>
          <wp:docPr id="276235953" name="图片 276235953"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35953" name="图片 276235953"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97B7F" w14:textId="77777777" w:rsidR="008810A2" w:rsidRDefault="00D921E0">
    <w:pPr>
      <w:pStyle w:val="af8"/>
      <w:spacing w:line="240" w:lineRule="auto"/>
      <w:ind w:firstLineChars="0" w:firstLine="0"/>
      <w:jc w:val="right"/>
    </w:pPr>
    <w:r>
      <w:rPr>
        <w:noProof/>
      </w:rPr>
      <w:drawing>
        <wp:inline distT="0" distB="0" distL="0" distR="0" wp14:anchorId="26B51185" wp14:editId="0B6DE892">
          <wp:extent cx="2137410" cy="174625"/>
          <wp:effectExtent l="19050" t="0" r="0" b="0"/>
          <wp:docPr id="1470633304" name="图片 147063330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33304" name="图片 147063330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CB01" w14:textId="77777777" w:rsidR="008810A2" w:rsidRDefault="00000000">
    <w:pPr>
      <w:pStyle w:val="af8"/>
      <w:ind w:firstLine="360"/>
    </w:pPr>
    <w:r>
      <w:pict w14:anchorId="6DBB9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83690" o:spid="_x0000_s1028" type="#_x0000_t136" style="position:absolute;left:0;text-align:left;margin-left:0;margin-top:0;width:503.45pt;height:82pt;rotation:315;z-index:-25164595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仅供专家参考"/>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0AD5" w14:textId="77777777" w:rsidR="008810A2" w:rsidRDefault="00D921E0">
    <w:pPr>
      <w:pStyle w:val="af8"/>
      <w:spacing w:line="240" w:lineRule="auto"/>
      <w:ind w:firstLineChars="0" w:firstLine="0"/>
      <w:jc w:val="left"/>
    </w:pPr>
    <w:r>
      <w:rPr>
        <w:noProof/>
      </w:rPr>
      <w:drawing>
        <wp:inline distT="0" distB="0" distL="0" distR="0" wp14:anchorId="18EA5F35" wp14:editId="725326AE">
          <wp:extent cx="2137410" cy="174625"/>
          <wp:effectExtent l="19050" t="0" r="0" b="0"/>
          <wp:docPr id="1738543320" name="图片 1738543320"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43320" name="图片 1738543320"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BA0E" w14:textId="77777777" w:rsidR="008810A2" w:rsidRDefault="00D921E0">
    <w:pPr>
      <w:pStyle w:val="af8"/>
      <w:spacing w:line="240" w:lineRule="auto"/>
      <w:ind w:firstLineChars="0" w:firstLine="0"/>
      <w:jc w:val="right"/>
    </w:pPr>
    <w:r>
      <w:rPr>
        <w:noProof/>
      </w:rPr>
      <w:drawing>
        <wp:inline distT="0" distB="0" distL="0" distR="0" wp14:anchorId="7AFFC46A" wp14:editId="411F033B">
          <wp:extent cx="2137410" cy="174625"/>
          <wp:effectExtent l="19050" t="0" r="0" b="0"/>
          <wp:docPr id="1868167265" name="图片 1868167265"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67265" name="图片 1868167265"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40E0" w14:textId="77777777" w:rsidR="008810A2" w:rsidRDefault="00000000">
    <w:pPr>
      <w:pStyle w:val="af8"/>
      <w:ind w:firstLine="360"/>
    </w:pPr>
    <w:r>
      <w:pict w14:anchorId="7FAE5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83693" o:spid="_x0000_s1031" type="#_x0000_t136" style="position:absolute;left:0;text-align:left;margin-left:0;margin-top:0;width:503.45pt;height:82pt;rotation:315;z-index:-25164492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仅供专家参考"/>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313AE"/>
    <w:multiLevelType w:val="multilevel"/>
    <w:tmpl w:val="13E313AE"/>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18FB033C"/>
    <w:multiLevelType w:val="multilevel"/>
    <w:tmpl w:val="18FB033C"/>
    <w:lvl w:ilvl="0">
      <w:start w:val="1"/>
      <w:numFmt w:val="chineseCountingThousand"/>
      <w:suff w:val="nothing"/>
      <w:lvlText w:val="%1、"/>
      <w:lvlJc w:val="left"/>
      <w:pPr>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1FCD4666"/>
    <w:multiLevelType w:val="multilevel"/>
    <w:tmpl w:val="1FCD4666"/>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24E344BD"/>
    <w:multiLevelType w:val="multilevel"/>
    <w:tmpl w:val="24E344BD"/>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276B61B7"/>
    <w:multiLevelType w:val="multilevel"/>
    <w:tmpl w:val="276B61B7"/>
    <w:lvl w:ilvl="0">
      <w:start w:val="1"/>
      <w:numFmt w:val="chineseCountingThousand"/>
      <w:suff w:val="nothing"/>
      <w:lvlText w:val="%1、"/>
      <w:lvlJc w:val="left"/>
      <w:pPr>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2AF92A6C"/>
    <w:multiLevelType w:val="multilevel"/>
    <w:tmpl w:val="2AF92A6C"/>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3DE7078D"/>
    <w:multiLevelType w:val="multilevel"/>
    <w:tmpl w:val="3DE7078D"/>
    <w:lvl w:ilvl="0">
      <w:start w:val="1"/>
      <w:numFmt w:val="chineseCountingThousand"/>
      <w:suff w:val="nothing"/>
      <w:lvlText w:val="第%1章"/>
      <w:lvlJc w:val="left"/>
      <w:pPr>
        <w:ind w:left="2121" w:hanging="420"/>
      </w:pPr>
      <w:rPr>
        <w:rFonts w:hint="default"/>
      </w:rPr>
    </w:lvl>
    <w:lvl w:ilvl="1">
      <w:start w:val="1"/>
      <w:numFmt w:val="japaneseCounting"/>
      <w:lvlText w:val="%2、"/>
      <w:lvlJc w:val="left"/>
      <w:pPr>
        <w:ind w:left="-702" w:hanging="720"/>
      </w:pPr>
      <w:rPr>
        <w:rFonts w:eastAsia="黑体" w:hint="default"/>
        <w:b w:val="0"/>
      </w:rPr>
    </w:lvl>
    <w:lvl w:ilvl="2">
      <w:start w:val="1"/>
      <w:numFmt w:val="lowerRoman"/>
      <w:lvlText w:val="%3."/>
      <w:lvlJc w:val="right"/>
      <w:pPr>
        <w:ind w:left="-582" w:hanging="420"/>
      </w:pPr>
      <w:rPr>
        <w:rFonts w:hint="eastAsia"/>
      </w:rPr>
    </w:lvl>
    <w:lvl w:ilvl="3">
      <w:start w:val="1"/>
      <w:numFmt w:val="decimal"/>
      <w:lvlText w:val="%4."/>
      <w:lvlJc w:val="left"/>
      <w:pPr>
        <w:ind w:left="-162" w:hanging="420"/>
      </w:pPr>
      <w:rPr>
        <w:rFonts w:hint="eastAsia"/>
      </w:rPr>
    </w:lvl>
    <w:lvl w:ilvl="4">
      <w:start w:val="1"/>
      <w:numFmt w:val="lowerLetter"/>
      <w:lvlText w:val="%5)"/>
      <w:lvlJc w:val="left"/>
      <w:pPr>
        <w:ind w:left="258" w:hanging="420"/>
      </w:pPr>
      <w:rPr>
        <w:rFonts w:hint="eastAsia"/>
      </w:rPr>
    </w:lvl>
    <w:lvl w:ilvl="5">
      <w:start w:val="1"/>
      <w:numFmt w:val="lowerRoman"/>
      <w:lvlText w:val="%6."/>
      <w:lvlJc w:val="right"/>
      <w:pPr>
        <w:ind w:left="678" w:hanging="420"/>
      </w:pPr>
      <w:rPr>
        <w:rFonts w:hint="eastAsia"/>
      </w:rPr>
    </w:lvl>
    <w:lvl w:ilvl="6">
      <w:start w:val="1"/>
      <w:numFmt w:val="decimal"/>
      <w:lvlText w:val="%7."/>
      <w:lvlJc w:val="left"/>
      <w:pPr>
        <w:ind w:left="1098" w:hanging="420"/>
      </w:pPr>
      <w:rPr>
        <w:rFonts w:hint="eastAsia"/>
      </w:rPr>
    </w:lvl>
    <w:lvl w:ilvl="7">
      <w:start w:val="1"/>
      <w:numFmt w:val="lowerLetter"/>
      <w:lvlText w:val="%8)"/>
      <w:lvlJc w:val="left"/>
      <w:pPr>
        <w:ind w:left="1518" w:hanging="420"/>
      </w:pPr>
      <w:rPr>
        <w:rFonts w:hint="eastAsia"/>
      </w:rPr>
    </w:lvl>
    <w:lvl w:ilvl="8">
      <w:start w:val="1"/>
      <w:numFmt w:val="lowerRoman"/>
      <w:lvlText w:val="%9."/>
      <w:lvlJc w:val="right"/>
      <w:pPr>
        <w:ind w:left="1938" w:hanging="420"/>
      </w:pPr>
      <w:rPr>
        <w:rFonts w:hint="eastAsia"/>
      </w:rPr>
    </w:lvl>
  </w:abstractNum>
  <w:abstractNum w:abstractNumId="7" w15:restartNumberingAfterBreak="0">
    <w:nsid w:val="3FEB6893"/>
    <w:multiLevelType w:val="multilevel"/>
    <w:tmpl w:val="3FEB6893"/>
    <w:lvl w:ilvl="0">
      <w:start w:val="1"/>
      <w:numFmt w:val="chineseCountingThousand"/>
      <w:suff w:val="nothing"/>
      <w:lvlText w:val="%1、"/>
      <w:lvlJc w:val="left"/>
      <w:pPr>
        <w:ind w:left="0" w:firstLine="0"/>
      </w:pPr>
      <w:rPr>
        <w:rFonts w:ascii="黑体" w:eastAsia="黑体" w:hAnsi="黑体"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8" w15:restartNumberingAfterBreak="0">
    <w:nsid w:val="436669A8"/>
    <w:multiLevelType w:val="multilevel"/>
    <w:tmpl w:val="436669A8"/>
    <w:lvl w:ilvl="0">
      <w:start w:val="1"/>
      <w:numFmt w:val="chineseCountingThousand"/>
      <w:suff w:val="nothing"/>
      <w:lvlText w:val="%1、"/>
      <w:lvlJc w:val="left"/>
      <w:pPr>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56442B18"/>
    <w:multiLevelType w:val="multilevel"/>
    <w:tmpl w:val="56442B18"/>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5AF66AE9"/>
    <w:multiLevelType w:val="multilevel"/>
    <w:tmpl w:val="5AF66AE9"/>
    <w:lvl w:ilvl="0">
      <w:start w:val="1"/>
      <w:numFmt w:val="bullet"/>
      <w:lvlText w:val="◇"/>
      <w:lvlJc w:val="left"/>
      <w:pPr>
        <w:tabs>
          <w:tab w:val="left" w:pos="420"/>
        </w:tabs>
        <w:ind w:left="420" w:hanging="420"/>
      </w:pPr>
      <w:rPr>
        <w:rFonts w:ascii="宋体" w:eastAsia="宋体" w:hAnsi="宋体" w:hint="eastAsia"/>
      </w:rPr>
    </w:lvl>
    <w:lvl w:ilvl="1">
      <w:start w:val="1"/>
      <w:numFmt w:val="bullet"/>
      <w:lvlText w:val=""/>
      <w:lvlJc w:val="left"/>
      <w:pPr>
        <w:tabs>
          <w:tab w:val="left" w:pos="840"/>
        </w:tabs>
        <w:ind w:left="840" w:hanging="420"/>
      </w:pPr>
      <w:rPr>
        <w:rFonts w:ascii="Bookshelf Symbol 7" w:hAnsi="Bookshelf Symbol 7" w:hint="default"/>
      </w:rPr>
    </w:lvl>
    <w:lvl w:ilvl="2">
      <w:start w:val="1"/>
      <w:numFmt w:val="bullet"/>
      <w:lvlText w:val=""/>
      <w:lvlJc w:val="left"/>
      <w:pPr>
        <w:tabs>
          <w:tab w:val="left" w:pos="1260"/>
        </w:tabs>
        <w:ind w:left="1260" w:hanging="420"/>
      </w:pPr>
      <w:rPr>
        <w:rFonts w:ascii="Bookshelf Symbol 7" w:hAnsi="Bookshelf Symbol 7" w:hint="default"/>
      </w:rPr>
    </w:lvl>
    <w:lvl w:ilvl="3">
      <w:start w:val="1"/>
      <w:numFmt w:val="bullet"/>
      <w:lvlText w:val=""/>
      <w:lvlJc w:val="left"/>
      <w:pPr>
        <w:tabs>
          <w:tab w:val="left" w:pos="1680"/>
        </w:tabs>
        <w:ind w:left="1680" w:hanging="420"/>
      </w:pPr>
      <w:rPr>
        <w:rFonts w:ascii="Bookshelf Symbol 7" w:hAnsi="Bookshelf Symbol 7" w:hint="default"/>
      </w:rPr>
    </w:lvl>
    <w:lvl w:ilvl="4">
      <w:start w:val="1"/>
      <w:numFmt w:val="bullet"/>
      <w:lvlText w:val=""/>
      <w:lvlJc w:val="left"/>
      <w:pPr>
        <w:tabs>
          <w:tab w:val="left" w:pos="2100"/>
        </w:tabs>
        <w:ind w:left="2100" w:hanging="420"/>
      </w:pPr>
      <w:rPr>
        <w:rFonts w:ascii="Bookshelf Symbol 7" w:hAnsi="Bookshelf Symbol 7" w:hint="default"/>
      </w:rPr>
    </w:lvl>
    <w:lvl w:ilvl="5">
      <w:start w:val="1"/>
      <w:numFmt w:val="bullet"/>
      <w:lvlText w:val=""/>
      <w:lvlJc w:val="left"/>
      <w:pPr>
        <w:tabs>
          <w:tab w:val="left" w:pos="2520"/>
        </w:tabs>
        <w:ind w:left="2520" w:hanging="420"/>
      </w:pPr>
      <w:rPr>
        <w:rFonts w:ascii="Bookshelf Symbol 7" w:hAnsi="Bookshelf Symbol 7" w:hint="default"/>
      </w:rPr>
    </w:lvl>
    <w:lvl w:ilvl="6">
      <w:start w:val="1"/>
      <w:numFmt w:val="bullet"/>
      <w:lvlText w:val=""/>
      <w:lvlJc w:val="left"/>
      <w:pPr>
        <w:tabs>
          <w:tab w:val="left" w:pos="2940"/>
        </w:tabs>
        <w:ind w:left="2940" w:hanging="420"/>
      </w:pPr>
      <w:rPr>
        <w:rFonts w:ascii="Bookshelf Symbol 7" w:hAnsi="Bookshelf Symbol 7" w:hint="default"/>
      </w:rPr>
    </w:lvl>
    <w:lvl w:ilvl="7">
      <w:start w:val="1"/>
      <w:numFmt w:val="bullet"/>
      <w:lvlText w:val=""/>
      <w:lvlJc w:val="left"/>
      <w:pPr>
        <w:tabs>
          <w:tab w:val="left" w:pos="3360"/>
        </w:tabs>
        <w:ind w:left="3360" w:hanging="420"/>
      </w:pPr>
      <w:rPr>
        <w:rFonts w:ascii="Bookshelf Symbol 7" w:hAnsi="Bookshelf Symbol 7" w:hint="default"/>
      </w:rPr>
    </w:lvl>
    <w:lvl w:ilvl="8">
      <w:start w:val="1"/>
      <w:numFmt w:val="bullet"/>
      <w:lvlText w:val=""/>
      <w:lvlJc w:val="left"/>
      <w:pPr>
        <w:tabs>
          <w:tab w:val="left" w:pos="3780"/>
        </w:tabs>
        <w:ind w:left="3780" w:hanging="420"/>
      </w:pPr>
      <w:rPr>
        <w:rFonts w:ascii="Bookshelf Symbol 7" w:hAnsi="Bookshelf Symbol 7" w:hint="default"/>
      </w:rPr>
    </w:lvl>
  </w:abstractNum>
  <w:abstractNum w:abstractNumId="11" w15:restartNumberingAfterBreak="0">
    <w:nsid w:val="5C113831"/>
    <w:multiLevelType w:val="multilevel"/>
    <w:tmpl w:val="5C113831"/>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68514B93"/>
    <w:multiLevelType w:val="multilevel"/>
    <w:tmpl w:val="68514B93"/>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6FD50A44"/>
    <w:multiLevelType w:val="multilevel"/>
    <w:tmpl w:val="6FD50A44"/>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70703E97"/>
    <w:multiLevelType w:val="multilevel"/>
    <w:tmpl w:val="70703E97"/>
    <w:lvl w:ilvl="0">
      <w:start w:val="1"/>
      <w:numFmt w:val="bullet"/>
      <w:lvlText w:val="◇"/>
      <w:lvlJc w:val="left"/>
      <w:pPr>
        <w:ind w:left="420" w:hanging="420"/>
      </w:pPr>
      <w:rPr>
        <w:rFonts w:ascii="宋体" w:eastAsia="宋体" w:hAnsi="宋体" w:hint="default"/>
        <w:sz w:val="21"/>
        <w:szCs w:val="21"/>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4413B36"/>
    <w:multiLevelType w:val="multilevel"/>
    <w:tmpl w:val="74413B3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74485101"/>
    <w:multiLevelType w:val="multilevel"/>
    <w:tmpl w:val="74485101"/>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7" w15:restartNumberingAfterBreak="0">
    <w:nsid w:val="7FB64495"/>
    <w:multiLevelType w:val="multilevel"/>
    <w:tmpl w:val="7FB64495"/>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322081544">
    <w:abstractNumId w:val="14"/>
  </w:num>
  <w:num w:numId="2" w16cid:durableId="1813479041">
    <w:abstractNumId w:val="6"/>
  </w:num>
  <w:num w:numId="3" w16cid:durableId="2010675055">
    <w:abstractNumId w:val="4"/>
  </w:num>
  <w:num w:numId="4" w16cid:durableId="827093374">
    <w:abstractNumId w:val="9"/>
  </w:num>
  <w:num w:numId="5" w16cid:durableId="234359345">
    <w:abstractNumId w:val="13"/>
  </w:num>
  <w:num w:numId="6" w16cid:durableId="1814905316">
    <w:abstractNumId w:val="15"/>
  </w:num>
  <w:num w:numId="7" w16cid:durableId="321467084">
    <w:abstractNumId w:val="7"/>
  </w:num>
  <w:num w:numId="8" w16cid:durableId="1806434362">
    <w:abstractNumId w:val="2"/>
  </w:num>
  <w:num w:numId="9" w16cid:durableId="2051343098">
    <w:abstractNumId w:val="5"/>
  </w:num>
  <w:num w:numId="10" w16cid:durableId="1198201660">
    <w:abstractNumId w:val="1"/>
  </w:num>
  <w:num w:numId="11" w16cid:durableId="1775662551">
    <w:abstractNumId w:val="17"/>
  </w:num>
  <w:num w:numId="12" w16cid:durableId="677122129">
    <w:abstractNumId w:val="11"/>
  </w:num>
  <w:num w:numId="13" w16cid:durableId="1938512252">
    <w:abstractNumId w:val="12"/>
  </w:num>
  <w:num w:numId="14" w16cid:durableId="492835791">
    <w:abstractNumId w:val="0"/>
  </w:num>
  <w:num w:numId="15" w16cid:durableId="55011381">
    <w:abstractNumId w:val="8"/>
  </w:num>
  <w:num w:numId="16" w16cid:durableId="2064019193">
    <w:abstractNumId w:val="3"/>
  </w:num>
  <w:num w:numId="17" w16cid:durableId="2045905352">
    <w:abstractNumId w:val="16"/>
  </w:num>
  <w:num w:numId="18" w16cid:durableId="9438032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420"/>
  <w:evenAndOddHeaders/>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IyMDc3Yjc0YWIzZThjYjY3YzRkZDNjMTgxZjc0ZmUifQ=="/>
  </w:docVars>
  <w:rsids>
    <w:rsidRoot w:val="007B2AF0"/>
    <w:rsid w:val="00000013"/>
    <w:rsid w:val="0000009A"/>
    <w:rsid w:val="000004D5"/>
    <w:rsid w:val="000006AF"/>
    <w:rsid w:val="000007F8"/>
    <w:rsid w:val="000008E7"/>
    <w:rsid w:val="00000F23"/>
    <w:rsid w:val="00001103"/>
    <w:rsid w:val="000014D8"/>
    <w:rsid w:val="0000163B"/>
    <w:rsid w:val="00001798"/>
    <w:rsid w:val="000017BA"/>
    <w:rsid w:val="0000190B"/>
    <w:rsid w:val="00001A2A"/>
    <w:rsid w:val="00001AB1"/>
    <w:rsid w:val="00001B1A"/>
    <w:rsid w:val="00001C9B"/>
    <w:rsid w:val="00001FED"/>
    <w:rsid w:val="0000265C"/>
    <w:rsid w:val="000027D7"/>
    <w:rsid w:val="00002A4B"/>
    <w:rsid w:val="00002AF4"/>
    <w:rsid w:val="00002C91"/>
    <w:rsid w:val="00002DB2"/>
    <w:rsid w:val="00002DFD"/>
    <w:rsid w:val="00002ECC"/>
    <w:rsid w:val="0000312E"/>
    <w:rsid w:val="00003269"/>
    <w:rsid w:val="00003457"/>
    <w:rsid w:val="0000354A"/>
    <w:rsid w:val="00003672"/>
    <w:rsid w:val="000036FA"/>
    <w:rsid w:val="000038B7"/>
    <w:rsid w:val="000038F9"/>
    <w:rsid w:val="00003AB4"/>
    <w:rsid w:val="00003AE8"/>
    <w:rsid w:val="00003E58"/>
    <w:rsid w:val="00003EEA"/>
    <w:rsid w:val="00003F6F"/>
    <w:rsid w:val="00004047"/>
    <w:rsid w:val="0000410A"/>
    <w:rsid w:val="000041CD"/>
    <w:rsid w:val="000042BD"/>
    <w:rsid w:val="0000460F"/>
    <w:rsid w:val="00004936"/>
    <w:rsid w:val="000049F4"/>
    <w:rsid w:val="00004A7D"/>
    <w:rsid w:val="00004E1E"/>
    <w:rsid w:val="00004F83"/>
    <w:rsid w:val="0000534A"/>
    <w:rsid w:val="000054A4"/>
    <w:rsid w:val="0000559F"/>
    <w:rsid w:val="000057A6"/>
    <w:rsid w:val="0000587D"/>
    <w:rsid w:val="00005B6C"/>
    <w:rsid w:val="00005CA2"/>
    <w:rsid w:val="00005E91"/>
    <w:rsid w:val="00005F0B"/>
    <w:rsid w:val="00006571"/>
    <w:rsid w:val="00006C75"/>
    <w:rsid w:val="00006E11"/>
    <w:rsid w:val="00006E92"/>
    <w:rsid w:val="00006ED9"/>
    <w:rsid w:val="000073D9"/>
    <w:rsid w:val="000074F0"/>
    <w:rsid w:val="0000762F"/>
    <w:rsid w:val="000078A4"/>
    <w:rsid w:val="00007E38"/>
    <w:rsid w:val="000100A2"/>
    <w:rsid w:val="000106E8"/>
    <w:rsid w:val="00010A3C"/>
    <w:rsid w:val="00010C2D"/>
    <w:rsid w:val="000110A5"/>
    <w:rsid w:val="000114D4"/>
    <w:rsid w:val="000115CC"/>
    <w:rsid w:val="00011736"/>
    <w:rsid w:val="00011764"/>
    <w:rsid w:val="000117A0"/>
    <w:rsid w:val="00011920"/>
    <w:rsid w:val="00011F8B"/>
    <w:rsid w:val="000120BF"/>
    <w:rsid w:val="0001211C"/>
    <w:rsid w:val="000124D3"/>
    <w:rsid w:val="00012531"/>
    <w:rsid w:val="000125A8"/>
    <w:rsid w:val="00012721"/>
    <w:rsid w:val="00012726"/>
    <w:rsid w:val="00012813"/>
    <w:rsid w:val="0001291C"/>
    <w:rsid w:val="000129A7"/>
    <w:rsid w:val="00012CB9"/>
    <w:rsid w:val="00012D37"/>
    <w:rsid w:val="000130FE"/>
    <w:rsid w:val="000137C1"/>
    <w:rsid w:val="00013BDB"/>
    <w:rsid w:val="000146DC"/>
    <w:rsid w:val="000146F1"/>
    <w:rsid w:val="00014788"/>
    <w:rsid w:val="00014899"/>
    <w:rsid w:val="00014B75"/>
    <w:rsid w:val="00014C9D"/>
    <w:rsid w:val="00014FBC"/>
    <w:rsid w:val="00014FE5"/>
    <w:rsid w:val="00014FF2"/>
    <w:rsid w:val="000154C5"/>
    <w:rsid w:val="00015935"/>
    <w:rsid w:val="00015936"/>
    <w:rsid w:val="00015BA1"/>
    <w:rsid w:val="00015BF0"/>
    <w:rsid w:val="00015C18"/>
    <w:rsid w:val="00015D1A"/>
    <w:rsid w:val="00015FEB"/>
    <w:rsid w:val="000161D1"/>
    <w:rsid w:val="00016432"/>
    <w:rsid w:val="00016552"/>
    <w:rsid w:val="0001658A"/>
    <w:rsid w:val="00016740"/>
    <w:rsid w:val="00016892"/>
    <w:rsid w:val="00016A05"/>
    <w:rsid w:val="00016D78"/>
    <w:rsid w:val="00016DBA"/>
    <w:rsid w:val="00016F70"/>
    <w:rsid w:val="0001713F"/>
    <w:rsid w:val="000171FB"/>
    <w:rsid w:val="00017536"/>
    <w:rsid w:val="000175B7"/>
    <w:rsid w:val="00017752"/>
    <w:rsid w:val="00017C86"/>
    <w:rsid w:val="00017CE8"/>
    <w:rsid w:val="00017EA3"/>
    <w:rsid w:val="00017F91"/>
    <w:rsid w:val="00020394"/>
    <w:rsid w:val="00020732"/>
    <w:rsid w:val="0002079A"/>
    <w:rsid w:val="00020810"/>
    <w:rsid w:val="000209FB"/>
    <w:rsid w:val="00020AA3"/>
    <w:rsid w:val="00020BAD"/>
    <w:rsid w:val="00020C67"/>
    <w:rsid w:val="000211FA"/>
    <w:rsid w:val="000212F1"/>
    <w:rsid w:val="000213A7"/>
    <w:rsid w:val="00021811"/>
    <w:rsid w:val="00021BE4"/>
    <w:rsid w:val="00021E0E"/>
    <w:rsid w:val="00022065"/>
    <w:rsid w:val="0002217C"/>
    <w:rsid w:val="000221D9"/>
    <w:rsid w:val="00022231"/>
    <w:rsid w:val="000222E2"/>
    <w:rsid w:val="00022587"/>
    <w:rsid w:val="00022906"/>
    <w:rsid w:val="0002296A"/>
    <w:rsid w:val="00022A41"/>
    <w:rsid w:val="0002317A"/>
    <w:rsid w:val="0002346F"/>
    <w:rsid w:val="00023882"/>
    <w:rsid w:val="00023BF7"/>
    <w:rsid w:val="00023E37"/>
    <w:rsid w:val="000247D4"/>
    <w:rsid w:val="00024891"/>
    <w:rsid w:val="0002494F"/>
    <w:rsid w:val="00024BD9"/>
    <w:rsid w:val="00024F81"/>
    <w:rsid w:val="00025051"/>
    <w:rsid w:val="000250AB"/>
    <w:rsid w:val="000253D1"/>
    <w:rsid w:val="0002574F"/>
    <w:rsid w:val="00025822"/>
    <w:rsid w:val="0002597B"/>
    <w:rsid w:val="000259A1"/>
    <w:rsid w:val="000259D7"/>
    <w:rsid w:val="000259DE"/>
    <w:rsid w:val="00025BBD"/>
    <w:rsid w:val="00025D5D"/>
    <w:rsid w:val="00025DC0"/>
    <w:rsid w:val="00025FA7"/>
    <w:rsid w:val="0002611B"/>
    <w:rsid w:val="000262A5"/>
    <w:rsid w:val="000262C1"/>
    <w:rsid w:val="000264B7"/>
    <w:rsid w:val="00026674"/>
    <w:rsid w:val="000266F6"/>
    <w:rsid w:val="00026A8A"/>
    <w:rsid w:val="00026AE0"/>
    <w:rsid w:val="00027156"/>
    <w:rsid w:val="000271C4"/>
    <w:rsid w:val="000272A4"/>
    <w:rsid w:val="000272E7"/>
    <w:rsid w:val="000273AB"/>
    <w:rsid w:val="00027689"/>
    <w:rsid w:val="00027993"/>
    <w:rsid w:val="00027BC1"/>
    <w:rsid w:val="00027CA6"/>
    <w:rsid w:val="00027E7A"/>
    <w:rsid w:val="00027EC2"/>
    <w:rsid w:val="00027F2F"/>
    <w:rsid w:val="000300D1"/>
    <w:rsid w:val="0003058D"/>
    <w:rsid w:val="00030680"/>
    <w:rsid w:val="00030743"/>
    <w:rsid w:val="00030A47"/>
    <w:rsid w:val="00031232"/>
    <w:rsid w:val="00031604"/>
    <w:rsid w:val="000317F9"/>
    <w:rsid w:val="0003185C"/>
    <w:rsid w:val="00031BC0"/>
    <w:rsid w:val="00031CC0"/>
    <w:rsid w:val="00031E4B"/>
    <w:rsid w:val="00031EBD"/>
    <w:rsid w:val="00031ED5"/>
    <w:rsid w:val="00031F37"/>
    <w:rsid w:val="00031FD0"/>
    <w:rsid w:val="000327B3"/>
    <w:rsid w:val="00032AE6"/>
    <w:rsid w:val="00033131"/>
    <w:rsid w:val="00033227"/>
    <w:rsid w:val="000332F7"/>
    <w:rsid w:val="00033355"/>
    <w:rsid w:val="00033C57"/>
    <w:rsid w:val="00033C72"/>
    <w:rsid w:val="00033D32"/>
    <w:rsid w:val="00033E39"/>
    <w:rsid w:val="0003400D"/>
    <w:rsid w:val="000342A0"/>
    <w:rsid w:val="000344A2"/>
    <w:rsid w:val="000346AC"/>
    <w:rsid w:val="00034765"/>
    <w:rsid w:val="00034F2C"/>
    <w:rsid w:val="000350CF"/>
    <w:rsid w:val="00035275"/>
    <w:rsid w:val="000357CB"/>
    <w:rsid w:val="0003580F"/>
    <w:rsid w:val="00035978"/>
    <w:rsid w:val="00035A48"/>
    <w:rsid w:val="000360E7"/>
    <w:rsid w:val="00036346"/>
    <w:rsid w:val="000365BD"/>
    <w:rsid w:val="000366B6"/>
    <w:rsid w:val="0003671B"/>
    <w:rsid w:val="0003692D"/>
    <w:rsid w:val="00036AE5"/>
    <w:rsid w:val="00036B91"/>
    <w:rsid w:val="00036F78"/>
    <w:rsid w:val="00037676"/>
    <w:rsid w:val="00037A0D"/>
    <w:rsid w:val="00037E71"/>
    <w:rsid w:val="00037F2B"/>
    <w:rsid w:val="00040519"/>
    <w:rsid w:val="000406C6"/>
    <w:rsid w:val="00040D23"/>
    <w:rsid w:val="00040F19"/>
    <w:rsid w:val="00040F75"/>
    <w:rsid w:val="00041198"/>
    <w:rsid w:val="00041286"/>
    <w:rsid w:val="00041560"/>
    <w:rsid w:val="000415E3"/>
    <w:rsid w:val="00041684"/>
    <w:rsid w:val="00041AEA"/>
    <w:rsid w:val="00041B2D"/>
    <w:rsid w:val="00041BDA"/>
    <w:rsid w:val="00041DE2"/>
    <w:rsid w:val="00041DF9"/>
    <w:rsid w:val="00041F1A"/>
    <w:rsid w:val="00041F92"/>
    <w:rsid w:val="00042156"/>
    <w:rsid w:val="00042293"/>
    <w:rsid w:val="00042317"/>
    <w:rsid w:val="00042484"/>
    <w:rsid w:val="00042B80"/>
    <w:rsid w:val="00042D7C"/>
    <w:rsid w:val="00042E58"/>
    <w:rsid w:val="00042F4B"/>
    <w:rsid w:val="0004330D"/>
    <w:rsid w:val="00043312"/>
    <w:rsid w:val="000434EC"/>
    <w:rsid w:val="00043552"/>
    <w:rsid w:val="00043576"/>
    <w:rsid w:val="000435A3"/>
    <w:rsid w:val="000439C5"/>
    <w:rsid w:val="00043BFB"/>
    <w:rsid w:val="00043E51"/>
    <w:rsid w:val="00044024"/>
    <w:rsid w:val="00044302"/>
    <w:rsid w:val="000445CD"/>
    <w:rsid w:val="00044B29"/>
    <w:rsid w:val="00044EFE"/>
    <w:rsid w:val="0004509B"/>
    <w:rsid w:val="000450A7"/>
    <w:rsid w:val="000454DD"/>
    <w:rsid w:val="0004562D"/>
    <w:rsid w:val="00045724"/>
    <w:rsid w:val="00045923"/>
    <w:rsid w:val="0004596B"/>
    <w:rsid w:val="00045A53"/>
    <w:rsid w:val="00045AE7"/>
    <w:rsid w:val="00045CEE"/>
    <w:rsid w:val="00045D02"/>
    <w:rsid w:val="00045DB7"/>
    <w:rsid w:val="0004601F"/>
    <w:rsid w:val="00046154"/>
    <w:rsid w:val="00046485"/>
    <w:rsid w:val="00046528"/>
    <w:rsid w:val="000465D7"/>
    <w:rsid w:val="000466BE"/>
    <w:rsid w:val="0004685C"/>
    <w:rsid w:val="0004691E"/>
    <w:rsid w:val="00046AF9"/>
    <w:rsid w:val="000472DC"/>
    <w:rsid w:val="00047409"/>
    <w:rsid w:val="0004764B"/>
    <w:rsid w:val="000476D7"/>
    <w:rsid w:val="0004776D"/>
    <w:rsid w:val="00047ACB"/>
    <w:rsid w:val="00047D37"/>
    <w:rsid w:val="00047E91"/>
    <w:rsid w:val="00047EDF"/>
    <w:rsid w:val="00047F93"/>
    <w:rsid w:val="00047FB3"/>
    <w:rsid w:val="00050235"/>
    <w:rsid w:val="000502FD"/>
    <w:rsid w:val="000509B7"/>
    <w:rsid w:val="00050CCE"/>
    <w:rsid w:val="00051358"/>
    <w:rsid w:val="00051500"/>
    <w:rsid w:val="00051BF0"/>
    <w:rsid w:val="00051D31"/>
    <w:rsid w:val="00052013"/>
    <w:rsid w:val="00052166"/>
    <w:rsid w:val="000521D3"/>
    <w:rsid w:val="000523FB"/>
    <w:rsid w:val="00052477"/>
    <w:rsid w:val="000524F5"/>
    <w:rsid w:val="000526AA"/>
    <w:rsid w:val="000528B8"/>
    <w:rsid w:val="000529C3"/>
    <w:rsid w:val="00052B92"/>
    <w:rsid w:val="00053323"/>
    <w:rsid w:val="000533A3"/>
    <w:rsid w:val="00053583"/>
    <w:rsid w:val="0005363F"/>
    <w:rsid w:val="00053696"/>
    <w:rsid w:val="000537C9"/>
    <w:rsid w:val="00053B2F"/>
    <w:rsid w:val="00053D67"/>
    <w:rsid w:val="00053F93"/>
    <w:rsid w:val="00053FC0"/>
    <w:rsid w:val="00054196"/>
    <w:rsid w:val="0005427F"/>
    <w:rsid w:val="0005461A"/>
    <w:rsid w:val="00054738"/>
    <w:rsid w:val="00054B7F"/>
    <w:rsid w:val="00054C57"/>
    <w:rsid w:val="00055063"/>
    <w:rsid w:val="00055542"/>
    <w:rsid w:val="000556E3"/>
    <w:rsid w:val="00055846"/>
    <w:rsid w:val="00055C89"/>
    <w:rsid w:val="00055C9B"/>
    <w:rsid w:val="00055FAB"/>
    <w:rsid w:val="00056027"/>
    <w:rsid w:val="0005611A"/>
    <w:rsid w:val="00056338"/>
    <w:rsid w:val="000563FB"/>
    <w:rsid w:val="000566E1"/>
    <w:rsid w:val="00056787"/>
    <w:rsid w:val="00056CA0"/>
    <w:rsid w:val="00056CC5"/>
    <w:rsid w:val="00057016"/>
    <w:rsid w:val="0005707C"/>
    <w:rsid w:val="00057241"/>
    <w:rsid w:val="000573F8"/>
    <w:rsid w:val="0005741E"/>
    <w:rsid w:val="000574B2"/>
    <w:rsid w:val="00057658"/>
    <w:rsid w:val="000578D3"/>
    <w:rsid w:val="000579D3"/>
    <w:rsid w:val="00057C11"/>
    <w:rsid w:val="00057FF2"/>
    <w:rsid w:val="00060121"/>
    <w:rsid w:val="0006044E"/>
    <w:rsid w:val="0006063F"/>
    <w:rsid w:val="00060B0B"/>
    <w:rsid w:val="00060D3B"/>
    <w:rsid w:val="00060DD5"/>
    <w:rsid w:val="00061079"/>
    <w:rsid w:val="0006123B"/>
    <w:rsid w:val="000613AD"/>
    <w:rsid w:val="000613D0"/>
    <w:rsid w:val="00061469"/>
    <w:rsid w:val="00061574"/>
    <w:rsid w:val="00061809"/>
    <w:rsid w:val="00061C2B"/>
    <w:rsid w:val="00061D4E"/>
    <w:rsid w:val="00061E64"/>
    <w:rsid w:val="0006206D"/>
    <w:rsid w:val="0006211C"/>
    <w:rsid w:val="00062283"/>
    <w:rsid w:val="000627E5"/>
    <w:rsid w:val="00062C4D"/>
    <w:rsid w:val="00062E21"/>
    <w:rsid w:val="00062F3A"/>
    <w:rsid w:val="00063191"/>
    <w:rsid w:val="0006331C"/>
    <w:rsid w:val="000633D0"/>
    <w:rsid w:val="000635F8"/>
    <w:rsid w:val="000639C3"/>
    <w:rsid w:val="00063D05"/>
    <w:rsid w:val="00063F57"/>
    <w:rsid w:val="000642C6"/>
    <w:rsid w:val="0006458B"/>
    <w:rsid w:val="000645D0"/>
    <w:rsid w:val="00064AD1"/>
    <w:rsid w:val="00064B2C"/>
    <w:rsid w:val="00064E16"/>
    <w:rsid w:val="00064FD0"/>
    <w:rsid w:val="000650E0"/>
    <w:rsid w:val="00065266"/>
    <w:rsid w:val="00065407"/>
    <w:rsid w:val="000656AE"/>
    <w:rsid w:val="00065991"/>
    <w:rsid w:val="00065AD9"/>
    <w:rsid w:val="00065D06"/>
    <w:rsid w:val="000660F1"/>
    <w:rsid w:val="00066235"/>
    <w:rsid w:val="000663B2"/>
    <w:rsid w:val="000665B8"/>
    <w:rsid w:val="0006677B"/>
    <w:rsid w:val="000669AB"/>
    <w:rsid w:val="00066C9D"/>
    <w:rsid w:val="0006703B"/>
    <w:rsid w:val="000670A3"/>
    <w:rsid w:val="00067272"/>
    <w:rsid w:val="00067360"/>
    <w:rsid w:val="00067806"/>
    <w:rsid w:val="0006787A"/>
    <w:rsid w:val="000678DE"/>
    <w:rsid w:val="00067A65"/>
    <w:rsid w:val="00067C4E"/>
    <w:rsid w:val="00067CC0"/>
    <w:rsid w:val="00067E21"/>
    <w:rsid w:val="00070081"/>
    <w:rsid w:val="000700CB"/>
    <w:rsid w:val="0007014D"/>
    <w:rsid w:val="000701DC"/>
    <w:rsid w:val="0007024F"/>
    <w:rsid w:val="000703C0"/>
    <w:rsid w:val="000705FF"/>
    <w:rsid w:val="000708A1"/>
    <w:rsid w:val="00070AE2"/>
    <w:rsid w:val="00070E0A"/>
    <w:rsid w:val="00070FC5"/>
    <w:rsid w:val="00070FD5"/>
    <w:rsid w:val="0007113D"/>
    <w:rsid w:val="0007113E"/>
    <w:rsid w:val="00071274"/>
    <w:rsid w:val="000718D3"/>
    <w:rsid w:val="00071B60"/>
    <w:rsid w:val="00071FFB"/>
    <w:rsid w:val="000723C6"/>
    <w:rsid w:val="00072616"/>
    <w:rsid w:val="00072A58"/>
    <w:rsid w:val="00072A97"/>
    <w:rsid w:val="00072C84"/>
    <w:rsid w:val="00072CE6"/>
    <w:rsid w:val="00072D08"/>
    <w:rsid w:val="00072F04"/>
    <w:rsid w:val="00072F33"/>
    <w:rsid w:val="0007305E"/>
    <w:rsid w:val="0007322E"/>
    <w:rsid w:val="00073278"/>
    <w:rsid w:val="000732F0"/>
    <w:rsid w:val="000733AC"/>
    <w:rsid w:val="000733F4"/>
    <w:rsid w:val="0007359B"/>
    <w:rsid w:val="000735C5"/>
    <w:rsid w:val="00073706"/>
    <w:rsid w:val="0007375E"/>
    <w:rsid w:val="00073BDC"/>
    <w:rsid w:val="00073FAD"/>
    <w:rsid w:val="000749EA"/>
    <w:rsid w:val="00074C38"/>
    <w:rsid w:val="00074CFB"/>
    <w:rsid w:val="00074DE1"/>
    <w:rsid w:val="00074DEE"/>
    <w:rsid w:val="00075A7C"/>
    <w:rsid w:val="00075B02"/>
    <w:rsid w:val="00075CA1"/>
    <w:rsid w:val="0007602C"/>
    <w:rsid w:val="00076129"/>
    <w:rsid w:val="00076519"/>
    <w:rsid w:val="000765F7"/>
    <w:rsid w:val="00076AEB"/>
    <w:rsid w:val="00076D1E"/>
    <w:rsid w:val="00076F8B"/>
    <w:rsid w:val="00077306"/>
    <w:rsid w:val="000774FC"/>
    <w:rsid w:val="0007775D"/>
    <w:rsid w:val="000777AA"/>
    <w:rsid w:val="0007784B"/>
    <w:rsid w:val="00077B91"/>
    <w:rsid w:val="00077D87"/>
    <w:rsid w:val="00077F80"/>
    <w:rsid w:val="00080056"/>
    <w:rsid w:val="000801D3"/>
    <w:rsid w:val="00080454"/>
    <w:rsid w:val="00080520"/>
    <w:rsid w:val="00080702"/>
    <w:rsid w:val="00080731"/>
    <w:rsid w:val="00080796"/>
    <w:rsid w:val="000807CD"/>
    <w:rsid w:val="000807E7"/>
    <w:rsid w:val="00080A7F"/>
    <w:rsid w:val="00080E33"/>
    <w:rsid w:val="00080EA4"/>
    <w:rsid w:val="00081020"/>
    <w:rsid w:val="00081047"/>
    <w:rsid w:val="00081319"/>
    <w:rsid w:val="0008186D"/>
    <w:rsid w:val="00081A66"/>
    <w:rsid w:val="000826CB"/>
    <w:rsid w:val="0008282E"/>
    <w:rsid w:val="00082960"/>
    <w:rsid w:val="00082A81"/>
    <w:rsid w:val="00082B4B"/>
    <w:rsid w:val="00082C6F"/>
    <w:rsid w:val="00082F35"/>
    <w:rsid w:val="00082F62"/>
    <w:rsid w:val="00083272"/>
    <w:rsid w:val="000835B4"/>
    <w:rsid w:val="00083A1B"/>
    <w:rsid w:val="00083A5E"/>
    <w:rsid w:val="00083EA2"/>
    <w:rsid w:val="00083F0D"/>
    <w:rsid w:val="00084399"/>
    <w:rsid w:val="000846D9"/>
    <w:rsid w:val="000848CF"/>
    <w:rsid w:val="00084965"/>
    <w:rsid w:val="00084C84"/>
    <w:rsid w:val="00084CEF"/>
    <w:rsid w:val="00084D77"/>
    <w:rsid w:val="0008502A"/>
    <w:rsid w:val="00085037"/>
    <w:rsid w:val="0008515B"/>
    <w:rsid w:val="000853D5"/>
    <w:rsid w:val="000854D1"/>
    <w:rsid w:val="000854E2"/>
    <w:rsid w:val="000855D9"/>
    <w:rsid w:val="0008570F"/>
    <w:rsid w:val="00085A4E"/>
    <w:rsid w:val="00085BA1"/>
    <w:rsid w:val="00085BFD"/>
    <w:rsid w:val="00085E52"/>
    <w:rsid w:val="00085E57"/>
    <w:rsid w:val="00085F42"/>
    <w:rsid w:val="0008603E"/>
    <w:rsid w:val="000861C3"/>
    <w:rsid w:val="00086325"/>
    <w:rsid w:val="000866CE"/>
    <w:rsid w:val="00086878"/>
    <w:rsid w:val="000868BC"/>
    <w:rsid w:val="00086A52"/>
    <w:rsid w:val="00086AB8"/>
    <w:rsid w:val="00086E1B"/>
    <w:rsid w:val="000873B4"/>
    <w:rsid w:val="000875A3"/>
    <w:rsid w:val="000879FF"/>
    <w:rsid w:val="00087E76"/>
    <w:rsid w:val="00090075"/>
    <w:rsid w:val="000901EC"/>
    <w:rsid w:val="00090213"/>
    <w:rsid w:val="00090377"/>
    <w:rsid w:val="0009048A"/>
    <w:rsid w:val="00090500"/>
    <w:rsid w:val="000905E3"/>
    <w:rsid w:val="00090745"/>
    <w:rsid w:val="000909F7"/>
    <w:rsid w:val="00090B52"/>
    <w:rsid w:val="00090DDA"/>
    <w:rsid w:val="00090FAA"/>
    <w:rsid w:val="00091109"/>
    <w:rsid w:val="00091343"/>
    <w:rsid w:val="0009161C"/>
    <w:rsid w:val="00091790"/>
    <w:rsid w:val="000917AE"/>
    <w:rsid w:val="000917D1"/>
    <w:rsid w:val="0009194A"/>
    <w:rsid w:val="00091979"/>
    <w:rsid w:val="00091CF5"/>
    <w:rsid w:val="00091E9C"/>
    <w:rsid w:val="00091EDD"/>
    <w:rsid w:val="00092360"/>
    <w:rsid w:val="000924C6"/>
    <w:rsid w:val="000926FD"/>
    <w:rsid w:val="00092757"/>
    <w:rsid w:val="000927E8"/>
    <w:rsid w:val="0009282E"/>
    <w:rsid w:val="00092A55"/>
    <w:rsid w:val="00092E2F"/>
    <w:rsid w:val="00092F45"/>
    <w:rsid w:val="00093035"/>
    <w:rsid w:val="00093073"/>
    <w:rsid w:val="0009310C"/>
    <w:rsid w:val="00093121"/>
    <w:rsid w:val="000933E2"/>
    <w:rsid w:val="0009345B"/>
    <w:rsid w:val="00093588"/>
    <w:rsid w:val="00093A62"/>
    <w:rsid w:val="00093B4F"/>
    <w:rsid w:val="00093D73"/>
    <w:rsid w:val="00093D9C"/>
    <w:rsid w:val="00093DED"/>
    <w:rsid w:val="0009417A"/>
    <w:rsid w:val="000944B0"/>
    <w:rsid w:val="00094565"/>
    <w:rsid w:val="00094642"/>
    <w:rsid w:val="00094646"/>
    <w:rsid w:val="0009464D"/>
    <w:rsid w:val="000946AD"/>
    <w:rsid w:val="00094749"/>
    <w:rsid w:val="00094836"/>
    <w:rsid w:val="00094AD9"/>
    <w:rsid w:val="00094EC8"/>
    <w:rsid w:val="00094EE7"/>
    <w:rsid w:val="00094F82"/>
    <w:rsid w:val="00095006"/>
    <w:rsid w:val="0009502D"/>
    <w:rsid w:val="000951A8"/>
    <w:rsid w:val="00095954"/>
    <w:rsid w:val="00095987"/>
    <w:rsid w:val="00095A18"/>
    <w:rsid w:val="00095B10"/>
    <w:rsid w:val="00095BAE"/>
    <w:rsid w:val="00095D72"/>
    <w:rsid w:val="00095D93"/>
    <w:rsid w:val="000960CA"/>
    <w:rsid w:val="000962E0"/>
    <w:rsid w:val="00096360"/>
    <w:rsid w:val="00096413"/>
    <w:rsid w:val="000965F5"/>
    <w:rsid w:val="00096762"/>
    <w:rsid w:val="00096C7B"/>
    <w:rsid w:val="000970C8"/>
    <w:rsid w:val="000972E9"/>
    <w:rsid w:val="0009763A"/>
    <w:rsid w:val="00097671"/>
    <w:rsid w:val="000977BF"/>
    <w:rsid w:val="00097B00"/>
    <w:rsid w:val="00097B6A"/>
    <w:rsid w:val="00097D2C"/>
    <w:rsid w:val="00097D9C"/>
    <w:rsid w:val="00097DBF"/>
    <w:rsid w:val="00097E8D"/>
    <w:rsid w:val="000A0215"/>
    <w:rsid w:val="000A0697"/>
    <w:rsid w:val="000A0858"/>
    <w:rsid w:val="000A0CDB"/>
    <w:rsid w:val="000A12D4"/>
    <w:rsid w:val="000A14E3"/>
    <w:rsid w:val="000A1723"/>
    <w:rsid w:val="000A17FB"/>
    <w:rsid w:val="000A18C7"/>
    <w:rsid w:val="000A1A05"/>
    <w:rsid w:val="000A1A24"/>
    <w:rsid w:val="000A1B95"/>
    <w:rsid w:val="000A1E70"/>
    <w:rsid w:val="000A1E7B"/>
    <w:rsid w:val="000A1EAE"/>
    <w:rsid w:val="000A2118"/>
    <w:rsid w:val="000A2146"/>
    <w:rsid w:val="000A2197"/>
    <w:rsid w:val="000A224A"/>
    <w:rsid w:val="000A2336"/>
    <w:rsid w:val="000A23E3"/>
    <w:rsid w:val="000A2572"/>
    <w:rsid w:val="000A25DC"/>
    <w:rsid w:val="000A2BD9"/>
    <w:rsid w:val="000A327F"/>
    <w:rsid w:val="000A3355"/>
    <w:rsid w:val="000A3386"/>
    <w:rsid w:val="000A3610"/>
    <w:rsid w:val="000A3AAE"/>
    <w:rsid w:val="000A3CB1"/>
    <w:rsid w:val="000A41D5"/>
    <w:rsid w:val="000A4F69"/>
    <w:rsid w:val="000A5257"/>
    <w:rsid w:val="000A5268"/>
    <w:rsid w:val="000A53E6"/>
    <w:rsid w:val="000A53FE"/>
    <w:rsid w:val="000A5921"/>
    <w:rsid w:val="000A5B71"/>
    <w:rsid w:val="000A5D41"/>
    <w:rsid w:val="000A5FEB"/>
    <w:rsid w:val="000A613F"/>
    <w:rsid w:val="000A65CF"/>
    <w:rsid w:val="000A66D9"/>
    <w:rsid w:val="000A6877"/>
    <w:rsid w:val="000A69A1"/>
    <w:rsid w:val="000A6FF4"/>
    <w:rsid w:val="000A7125"/>
    <w:rsid w:val="000A7145"/>
    <w:rsid w:val="000A723F"/>
    <w:rsid w:val="000A72A6"/>
    <w:rsid w:val="000A73E8"/>
    <w:rsid w:val="000A75A5"/>
    <w:rsid w:val="000A7618"/>
    <w:rsid w:val="000B007C"/>
    <w:rsid w:val="000B0277"/>
    <w:rsid w:val="000B037A"/>
    <w:rsid w:val="000B0395"/>
    <w:rsid w:val="000B03FB"/>
    <w:rsid w:val="000B06FD"/>
    <w:rsid w:val="000B0EC4"/>
    <w:rsid w:val="000B11A6"/>
    <w:rsid w:val="000B14A0"/>
    <w:rsid w:val="000B19FD"/>
    <w:rsid w:val="000B1AC2"/>
    <w:rsid w:val="000B1B0E"/>
    <w:rsid w:val="000B1B41"/>
    <w:rsid w:val="000B1D24"/>
    <w:rsid w:val="000B209B"/>
    <w:rsid w:val="000B20F3"/>
    <w:rsid w:val="000B2245"/>
    <w:rsid w:val="000B2378"/>
    <w:rsid w:val="000B24B2"/>
    <w:rsid w:val="000B2622"/>
    <w:rsid w:val="000B2676"/>
    <w:rsid w:val="000B273A"/>
    <w:rsid w:val="000B282C"/>
    <w:rsid w:val="000B2AA9"/>
    <w:rsid w:val="000B2B50"/>
    <w:rsid w:val="000B2D00"/>
    <w:rsid w:val="000B2EC2"/>
    <w:rsid w:val="000B31CA"/>
    <w:rsid w:val="000B329F"/>
    <w:rsid w:val="000B33CB"/>
    <w:rsid w:val="000B33EB"/>
    <w:rsid w:val="000B3627"/>
    <w:rsid w:val="000B36B4"/>
    <w:rsid w:val="000B3A00"/>
    <w:rsid w:val="000B3F65"/>
    <w:rsid w:val="000B41C3"/>
    <w:rsid w:val="000B423F"/>
    <w:rsid w:val="000B42E8"/>
    <w:rsid w:val="000B4365"/>
    <w:rsid w:val="000B445B"/>
    <w:rsid w:val="000B44ED"/>
    <w:rsid w:val="000B458E"/>
    <w:rsid w:val="000B45FC"/>
    <w:rsid w:val="000B4628"/>
    <w:rsid w:val="000B485B"/>
    <w:rsid w:val="000B48AC"/>
    <w:rsid w:val="000B4A08"/>
    <w:rsid w:val="000B4BEC"/>
    <w:rsid w:val="000B5234"/>
    <w:rsid w:val="000B59AD"/>
    <w:rsid w:val="000B5C8E"/>
    <w:rsid w:val="000B6570"/>
    <w:rsid w:val="000B6671"/>
    <w:rsid w:val="000B66AF"/>
    <w:rsid w:val="000B6981"/>
    <w:rsid w:val="000B6EA6"/>
    <w:rsid w:val="000B6FAB"/>
    <w:rsid w:val="000B7135"/>
    <w:rsid w:val="000B722B"/>
    <w:rsid w:val="000B72C0"/>
    <w:rsid w:val="000B73C4"/>
    <w:rsid w:val="000B790E"/>
    <w:rsid w:val="000B7AE6"/>
    <w:rsid w:val="000B7BE4"/>
    <w:rsid w:val="000B7C58"/>
    <w:rsid w:val="000C007D"/>
    <w:rsid w:val="000C0342"/>
    <w:rsid w:val="000C0382"/>
    <w:rsid w:val="000C039D"/>
    <w:rsid w:val="000C05DE"/>
    <w:rsid w:val="000C0859"/>
    <w:rsid w:val="000C08F3"/>
    <w:rsid w:val="000C0C42"/>
    <w:rsid w:val="000C0D2B"/>
    <w:rsid w:val="000C0E9D"/>
    <w:rsid w:val="000C0EA9"/>
    <w:rsid w:val="000C1003"/>
    <w:rsid w:val="000C11FB"/>
    <w:rsid w:val="000C138F"/>
    <w:rsid w:val="000C13EB"/>
    <w:rsid w:val="000C172C"/>
    <w:rsid w:val="000C1CD2"/>
    <w:rsid w:val="000C1DF9"/>
    <w:rsid w:val="000C1E51"/>
    <w:rsid w:val="000C263B"/>
    <w:rsid w:val="000C2AFD"/>
    <w:rsid w:val="000C2CFE"/>
    <w:rsid w:val="000C2DD1"/>
    <w:rsid w:val="000C2E1C"/>
    <w:rsid w:val="000C34B5"/>
    <w:rsid w:val="000C3B10"/>
    <w:rsid w:val="000C3D3C"/>
    <w:rsid w:val="000C3F74"/>
    <w:rsid w:val="000C3F97"/>
    <w:rsid w:val="000C42CF"/>
    <w:rsid w:val="000C4309"/>
    <w:rsid w:val="000C4470"/>
    <w:rsid w:val="000C45D3"/>
    <w:rsid w:val="000C4650"/>
    <w:rsid w:val="000C484A"/>
    <w:rsid w:val="000C486A"/>
    <w:rsid w:val="000C49C6"/>
    <w:rsid w:val="000C4F71"/>
    <w:rsid w:val="000C50AB"/>
    <w:rsid w:val="000C53F0"/>
    <w:rsid w:val="000C5487"/>
    <w:rsid w:val="000C55BF"/>
    <w:rsid w:val="000C5EA3"/>
    <w:rsid w:val="000C5FAE"/>
    <w:rsid w:val="000C625A"/>
    <w:rsid w:val="000C632C"/>
    <w:rsid w:val="000C6476"/>
    <w:rsid w:val="000C687C"/>
    <w:rsid w:val="000C6B17"/>
    <w:rsid w:val="000C6E9D"/>
    <w:rsid w:val="000C6F00"/>
    <w:rsid w:val="000C701E"/>
    <w:rsid w:val="000C715B"/>
    <w:rsid w:val="000C76F1"/>
    <w:rsid w:val="000D01C0"/>
    <w:rsid w:val="000D01FC"/>
    <w:rsid w:val="000D0399"/>
    <w:rsid w:val="000D04C7"/>
    <w:rsid w:val="000D0CA2"/>
    <w:rsid w:val="000D0CB6"/>
    <w:rsid w:val="000D0D64"/>
    <w:rsid w:val="000D0D73"/>
    <w:rsid w:val="000D167F"/>
    <w:rsid w:val="000D1706"/>
    <w:rsid w:val="000D1917"/>
    <w:rsid w:val="000D1973"/>
    <w:rsid w:val="000D1B12"/>
    <w:rsid w:val="000D1D4B"/>
    <w:rsid w:val="000D2058"/>
    <w:rsid w:val="000D21F9"/>
    <w:rsid w:val="000D2245"/>
    <w:rsid w:val="000D2344"/>
    <w:rsid w:val="000D23B2"/>
    <w:rsid w:val="000D2A79"/>
    <w:rsid w:val="000D2AC1"/>
    <w:rsid w:val="000D2BEF"/>
    <w:rsid w:val="000D34EF"/>
    <w:rsid w:val="000D370F"/>
    <w:rsid w:val="000D38CE"/>
    <w:rsid w:val="000D3B83"/>
    <w:rsid w:val="000D3BA2"/>
    <w:rsid w:val="000D3D06"/>
    <w:rsid w:val="000D3E18"/>
    <w:rsid w:val="000D3E7F"/>
    <w:rsid w:val="000D3E86"/>
    <w:rsid w:val="000D404D"/>
    <w:rsid w:val="000D4261"/>
    <w:rsid w:val="000D432E"/>
    <w:rsid w:val="000D4861"/>
    <w:rsid w:val="000D4A1E"/>
    <w:rsid w:val="000D4BF6"/>
    <w:rsid w:val="000D4D3F"/>
    <w:rsid w:val="000D4F10"/>
    <w:rsid w:val="000D4F24"/>
    <w:rsid w:val="000D5226"/>
    <w:rsid w:val="000D5463"/>
    <w:rsid w:val="000D54CF"/>
    <w:rsid w:val="000D5708"/>
    <w:rsid w:val="000D5AAA"/>
    <w:rsid w:val="000D5BF8"/>
    <w:rsid w:val="000D5CFD"/>
    <w:rsid w:val="000D5E71"/>
    <w:rsid w:val="000D5FEB"/>
    <w:rsid w:val="000D6859"/>
    <w:rsid w:val="000D6A4D"/>
    <w:rsid w:val="000D6E8E"/>
    <w:rsid w:val="000D72B7"/>
    <w:rsid w:val="000D73AE"/>
    <w:rsid w:val="000D73D9"/>
    <w:rsid w:val="000D742D"/>
    <w:rsid w:val="000D766A"/>
    <w:rsid w:val="000D76B7"/>
    <w:rsid w:val="000D78DF"/>
    <w:rsid w:val="000D7B8D"/>
    <w:rsid w:val="000D7B94"/>
    <w:rsid w:val="000D7D73"/>
    <w:rsid w:val="000E021F"/>
    <w:rsid w:val="000E0AAF"/>
    <w:rsid w:val="000E0C23"/>
    <w:rsid w:val="000E0C61"/>
    <w:rsid w:val="000E0F40"/>
    <w:rsid w:val="000E0FD3"/>
    <w:rsid w:val="000E113E"/>
    <w:rsid w:val="000E16D0"/>
    <w:rsid w:val="000E1702"/>
    <w:rsid w:val="000E1931"/>
    <w:rsid w:val="000E1956"/>
    <w:rsid w:val="000E1B6E"/>
    <w:rsid w:val="000E1EBD"/>
    <w:rsid w:val="000E2087"/>
    <w:rsid w:val="000E223F"/>
    <w:rsid w:val="000E2398"/>
    <w:rsid w:val="000E2567"/>
    <w:rsid w:val="000E28B3"/>
    <w:rsid w:val="000E2ACD"/>
    <w:rsid w:val="000E2B15"/>
    <w:rsid w:val="000E3316"/>
    <w:rsid w:val="000E345D"/>
    <w:rsid w:val="000E36FC"/>
    <w:rsid w:val="000E374B"/>
    <w:rsid w:val="000E3768"/>
    <w:rsid w:val="000E401A"/>
    <w:rsid w:val="000E415E"/>
    <w:rsid w:val="000E4214"/>
    <w:rsid w:val="000E45F9"/>
    <w:rsid w:val="000E477D"/>
    <w:rsid w:val="000E49C9"/>
    <w:rsid w:val="000E4EED"/>
    <w:rsid w:val="000E53AB"/>
    <w:rsid w:val="000E5538"/>
    <w:rsid w:val="000E5595"/>
    <w:rsid w:val="000E591D"/>
    <w:rsid w:val="000E5946"/>
    <w:rsid w:val="000E5A2E"/>
    <w:rsid w:val="000E5A48"/>
    <w:rsid w:val="000E5C4D"/>
    <w:rsid w:val="000E5D8A"/>
    <w:rsid w:val="000E5F21"/>
    <w:rsid w:val="000E60E3"/>
    <w:rsid w:val="000E67C2"/>
    <w:rsid w:val="000E6C03"/>
    <w:rsid w:val="000E6C59"/>
    <w:rsid w:val="000E6F09"/>
    <w:rsid w:val="000E6F20"/>
    <w:rsid w:val="000E71DB"/>
    <w:rsid w:val="000E725E"/>
    <w:rsid w:val="000E7324"/>
    <w:rsid w:val="000E76A5"/>
    <w:rsid w:val="000E794D"/>
    <w:rsid w:val="000E7B28"/>
    <w:rsid w:val="000E7BE1"/>
    <w:rsid w:val="000E7E2C"/>
    <w:rsid w:val="000E7E2D"/>
    <w:rsid w:val="000E7E57"/>
    <w:rsid w:val="000E7EEA"/>
    <w:rsid w:val="000E7F88"/>
    <w:rsid w:val="000E7FAB"/>
    <w:rsid w:val="000F0691"/>
    <w:rsid w:val="000F07F9"/>
    <w:rsid w:val="000F08DE"/>
    <w:rsid w:val="000F0B0D"/>
    <w:rsid w:val="000F0E2E"/>
    <w:rsid w:val="000F1189"/>
    <w:rsid w:val="000F11BB"/>
    <w:rsid w:val="000F127C"/>
    <w:rsid w:val="000F12D1"/>
    <w:rsid w:val="000F138F"/>
    <w:rsid w:val="000F13EF"/>
    <w:rsid w:val="000F14D9"/>
    <w:rsid w:val="000F1744"/>
    <w:rsid w:val="000F18DC"/>
    <w:rsid w:val="000F1A13"/>
    <w:rsid w:val="000F1AFE"/>
    <w:rsid w:val="000F1D7E"/>
    <w:rsid w:val="000F2416"/>
    <w:rsid w:val="000F2448"/>
    <w:rsid w:val="000F245A"/>
    <w:rsid w:val="000F2475"/>
    <w:rsid w:val="000F25B1"/>
    <w:rsid w:val="000F2870"/>
    <w:rsid w:val="000F2876"/>
    <w:rsid w:val="000F29BA"/>
    <w:rsid w:val="000F2A6C"/>
    <w:rsid w:val="000F2B39"/>
    <w:rsid w:val="000F2DCA"/>
    <w:rsid w:val="000F305E"/>
    <w:rsid w:val="000F3693"/>
    <w:rsid w:val="000F392E"/>
    <w:rsid w:val="000F3BB0"/>
    <w:rsid w:val="000F3C42"/>
    <w:rsid w:val="000F3CCD"/>
    <w:rsid w:val="000F3DFE"/>
    <w:rsid w:val="000F40D2"/>
    <w:rsid w:val="000F4277"/>
    <w:rsid w:val="000F4299"/>
    <w:rsid w:val="000F42F4"/>
    <w:rsid w:val="000F448B"/>
    <w:rsid w:val="000F4561"/>
    <w:rsid w:val="000F473C"/>
    <w:rsid w:val="000F4B5E"/>
    <w:rsid w:val="000F4BF5"/>
    <w:rsid w:val="000F4DE5"/>
    <w:rsid w:val="000F512C"/>
    <w:rsid w:val="000F527D"/>
    <w:rsid w:val="000F56BA"/>
    <w:rsid w:val="000F5751"/>
    <w:rsid w:val="000F58EE"/>
    <w:rsid w:val="000F5D95"/>
    <w:rsid w:val="000F5E62"/>
    <w:rsid w:val="000F63B1"/>
    <w:rsid w:val="000F6602"/>
    <w:rsid w:val="000F661B"/>
    <w:rsid w:val="000F66A1"/>
    <w:rsid w:val="000F6789"/>
    <w:rsid w:val="000F6945"/>
    <w:rsid w:val="000F69D2"/>
    <w:rsid w:val="000F6AAA"/>
    <w:rsid w:val="000F6BE3"/>
    <w:rsid w:val="000F6D2C"/>
    <w:rsid w:val="000F6E26"/>
    <w:rsid w:val="000F6E6F"/>
    <w:rsid w:val="000F6F30"/>
    <w:rsid w:val="000F7048"/>
    <w:rsid w:val="000F71FF"/>
    <w:rsid w:val="000F738A"/>
    <w:rsid w:val="000F74BE"/>
    <w:rsid w:val="000F7855"/>
    <w:rsid w:val="000F7C81"/>
    <w:rsid w:val="000F7DFD"/>
    <w:rsid w:val="00100033"/>
    <w:rsid w:val="00100059"/>
    <w:rsid w:val="00100098"/>
    <w:rsid w:val="001004C3"/>
    <w:rsid w:val="00100526"/>
    <w:rsid w:val="00100615"/>
    <w:rsid w:val="00100815"/>
    <w:rsid w:val="00100AFC"/>
    <w:rsid w:val="00100BDD"/>
    <w:rsid w:val="00100BFA"/>
    <w:rsid w:val="00100C46"/>
    <w:rsid w:val="00100DF7"/>
    <w:rsid w:val="00100E07"/>
    <w:rsid w:val="00100E29"/>
    <w:rsid w:val="00100E8E"/>
    <w:rsid w:val="0010113E"/>
    <w:rsid w:val="001015A0"/>
    <w:rsid w:val="001015E2"/>
    <w:rsid w:val="00101BCE"/>
    <w:rsid w:val="00101D6B"/>
    <w:rsid w:val="0010227B"/>
    <w:rsid w:val="001025C4"/>
    <w:rsid w:val="00102759"/>
    <w:rsid w:val="0010296C"/>
    <w:rsid w:val="00102B6F"/>
    <w:rsid w:val="00102D87"/>
    <w:rsid w:val="00102F8F"/>
    <w:rsid w:val="00103180"/>
    <w:rsid w:val="00103BF9"/>
    <w:rsid w:val="00103EAB"/>
    <w:rsid w:val="001042EF"/>
    <w:rsid w:val="00104492"/>
    <w:rsid w:val="0010457A"/>
    <w:rsid w:val="001045FA"/>
    <w:rsid w:val="001047ED"/>
    <w:rsid w:val="00104939"/>
    <w:rsid w:val="00104A72"/>
    <w:rsid w:val="00104B98"/>
    <w:rsid w:val="00104C8F"/>
    <w:rsid w:val="00104D0B"/>
    <w:rsid w:val="00104D1A"/>
    <w:rsid w:val="00104E4E"/>
    <w:rsid w:val="00105160"/>
    <w:rsid w:val="00105279"/>
    <w:rsid w:val="0010560A"/>
    <w:rsid w:val="00105632"/>
    <w:rsid w:val="00105738"/>
    <w:rsid w:val="0010581B"/>
    <w:rsid w:val="0010592C"/>
    <w:rsid w:val="0010607A"/>
    <w:rsid w:val="00106134"/>
    <w:rsid w:val="001062D0"/>
    <w:rsid w:val="00106413"/>
    <w:rsid w:val="00106556"/>
    <w:rsid w:val="0010661C"/>
    <w:rsid w:val="0010687A"/>
    <w:rsid w:val="00106A75"/>
    <w:rsid w:val="00106AD6"/>
    <w:rsid w:val="00106B22"/>
    <w:rsid w:val="00106C4F"/>
    <w:rsid w:val="00106DDD"/>
    <w:rsid w:val="00106F3C"/>
    <w:rsid w:val="0010718E"/>
    <w:rsid w:val="00107253"/>
    <w:rsid w:val="00107318"/>
    <w:rsid w:val="001077CD"/>
    <w:rsid w:val="001079DA"/>
    <w:rsid w:val="00107EC9"/>
    <w:rsid w:val="001101C6"/>
    <w:rsid w:val="001103C0"/>
    <w:rsid w:val="001105BF"/>
    <w:rsid w:val="00110899"/>
    <w:rsid w:val="001108CB"/>
    <w:rsid w:val="00110C8C"/>
    <w:rsid w:val="001113A5"/>
    <w:rsid w:val="001114A1"/>
    <w:rsid w:val="001114DF"/>
    <w:rsid w:val="00111761"/>
    <w:rsid w:val="001117DF"/>
    <w:rsid w:val="00111B63"/>
    <w:rsid w:val="00111CF1"/>
    <w:rsid w:val="00111FDD"/>
    <w:rsid w:val="00112050"/>
    <w:rsid w:val="001122E8"/>
    <w:rsid w:val="00112537"/>
    <w:rsid w:val="0011274E"/>
    <w:rsid w:val="00112987"/>
    <w:rsid w:val="00112F21"/>
    <w:rsid w:val="00112F87"/>
    <w:rsid w:val="00113011"/>
    <w:rsid w:val="001133FD"/>
    <w:rsid w:val="001138D8"/>
    <w:rsid w:val="00113A21"/>
    <w:rsid w:val="00113AED"/>
    <w:rsid w:val="00114054"/>
    <w:rsid w:val="00114144"/>
    <w:rsid w:val="001145D4"/>
    <w:rsid w:val="001145DF"/>
    <w:rsid w:val="00114739"/>
    <w:rsid w:val="00114A53"/>
    <w:rsid w:val="00114D81"/>
    <w:rsid w:val="00115442"/>
    <w:rsid w:val="00115528"/>
    <w:rsid w:val="001155DD"/>
    <w:rsid w:val="0011594F"/>
    <w:rsid w:val="00115C27"/>
    <w:rsid w:val="00115E18"/>
    <w:rsid w:val="00115E97"/>
    <w:rsid w:val="001163FC"/>
    <w:rsid w:val="0011640B"/>
    <w:rsid w:val="001164FC"/>
    <w:rsid w:val="0011664C"/>
    <w:rsid w:val="00116827"/>
    <w:rsid w:val="00116897"/>
    <w:rsid w:val="00116902"/>
    <w:rsid w:val="00116A71"/>
    <w:rsid w:val="001170A1"/>
    <w:rsid w:val="00117368"/>
    <w:rsid w:val="00117460"/>
    <w:rsid w:val="00117612"/>
    <w:rsid w:val="001176EB"/>
    <w:rsid w:val="00117886"/>
    <w:rsid w:val="00117B9B"/>
    <w:rsid w:val="00117C7D"/>
    <w:rsid w:val="00117E6D"/>
    <w:rsid w:val="00117F54"/>
    <w:rsid w:val="00120297"/>
    <w:rsid w:val="001202CD"/>
    <w:rsid w:val="00120347"/>
    <w:rsid w:val="001205D7"/>
    <w:rsid w:val="0012062B"/>
    <w:rsid w:val="00120778"/>
    <w:rsid w:val="001208D3"/>
    <w:rsid w:val="00120BD0"/>
    <w:rsid w:val="001212D3"/>
    <w:rsid w:val="001216B7"/>
    <w:rsid w:val="0012170F"/>
    <w:rsid w:val="00121822"/>
    <w:rsid w:val="001219E8"/>
    <w:rsid w:val="00121D20"/>
    <w:rsid w:val="00121E57"/>
    <w:rsid w:val="0012202D"/>
    <w:rsid w:val="00122104"/>
    <w:rsid w:val="00122183"/>
    <w:rsid w:val="0012218E"/>
    <w:rsid w:val="001221D2"/>
    <w:rsid w:val="00122402"/>
    <w:rsid w:val="00122EDA"/>
    <w:rsid w:val="00123426"/>
    <w:rsid w:val="0012349D"/>
    <w:rsid w:val="00123659"/>
    <w:rsid w:val="00123783"/>
    <w:rsid w:val="001238C2"/>
    <w:rsid w:val="001238D5"/>
    <w:rsid w:val="00123B06"/>
    <w:rsid w:val="00123B5F"/>
    <w:rsid w:val="00123C21"/>
    <w:rsid w:val="00123DF7"/>
    <w:rsid w:val="00123ED0"/>
    <w:rsid w:val="00123F7C"/>
    <w:rsid w:val="0012401A"/>
    <w:rsid w:val="0012408E"/>
    <w:rsid w:val="00124381"/>
    <w:rsid w:val="00124710"/>
    <w:rsid w:val="00124810"/>
    <w:rsid w:val="00124983"/>
    <w:rsid w:val="00124AA0"/>
    <w:rsid w:val="00124C7B"/>
    <w:rsid w:val="00124D1B"/>
    <w:rsid w:val="00124DDF"/>
    <w:rsid w:val="00124E2A"/>
    <w:rsid w:val="00124E53"/>
    <w:rsid w:val="00125170"/>
    <w:rsid w:val="00125377"/>
    <w:rsid w:val="001253B5"/>
    <w:rsid w:val="001257ED"/>
    <w:rsid w:val="001259F8"/>
    <w:rsid w:val="00125A0D"/>
    <w:rsid w:val="00125B7D"/>
    <w:rsid w:val="00125C83"/>
    <w:rsid w:val="00125EE3"/>
    <w:rsid w:val="00125F37"/>
    <w:rsid w:val="001260ED"/>
    <w:rsid w:val="001266CD"/>
    <w:rsid w:val="00126C67"/>
    <w:rsid w:val="00126E05"/>
    <w:rsid w:val="0012708C"/>
    <w:rsid w:val="001271C3"/>
    <w:rsid w:val="00127534"/>
    <w:rsid w:val="001278F5"/>
    <w:rsid w:val="00127E57"/>
    <w:rsid w:val="00127F96"/>
    <w:rsid w:val="0013025A"/>
    <w:rsid w:val="00130298"/>
    <w:rsid w:val="0013039E"/>
    <w:rsid w:val="00130765"/>
    <w:rsid w:val="001309CC"/>
    <w:rsid w:val="0013121A"/>
    <w:rsid w:val="001312B6"/>
    <w:rsid w:val="00131422"/>
    <w:rsid w:val="00131553"/>
    <w:rsid w:val="00131888"/>
    <w:rsid w:val="001318D1"/>
    <w:rsid w:val="00131F38"/>
    <w:rsid w:val="00131FB6"/>
    <w:rsid w:val="001323DB"/>
    <w:rsid w:val="001325EF"/>
    <w:rsid w:val="0013277C"/>
    <w:rsid w:val="001329EF"/>
    <w:rsid w:val="00132EC8"/>
    <w:rsid w:val="0013338C"/>
    <w:rsid w:val="0013362B"/>
    <w:rsid w:val="00133645"/>
    <w:rsid w:val="001338AB"/>
    <w:rsid w:val="00133DA7"/>
    <w:rsid w:val="001340DB"/>
    <w:rsid w:val="001342B7"/>
    <w:rsid w:val="0013442B"/>
    <w:rsid w:val="001347C0"/>
    <w:rsid w:val="0013507F"/>
    <w:rsid w:val="00135124"/>
    <w:rsid w:val="001354F5"/>
    <w:rsid w:val="0013555E"/>
    <w:rsid w:val="0013584F"/>
    <w:rsid w:val="00135DEB"/>
    <w:rsid w:val="00135E31"/>
    <w:rsid w:val="0013606A"/>
    <w:rsid w:val="00136864"/>
    <w:rsid w:val="00136943"/>
    <w:rsid w:val="00136A69"/>
    <w:rsid w:val="00136CBA"/>
    <w:rsid w:val="001375AA"/>
    <w:rsid w:val="00137989"/>
    <w:rsid w:val="00137A90"/>
    <w:rsid w:val="00140442"/>
    <w:rsid w:val="0014047C"/>
    <w:rsid w:val="001405A0"/>
    <w:rsid w:val="00140712"/>
    <w:rsid w:val="001409CA"/>
    <w:rsid w:val="00140CC5"/>
    <w:rsid w:val="00140E08"/>
    <w:rsid w:val="00140FF2"/>
    <w:rsid w:val="001411E5"/>
    <w:rsid w:val="0014152F"/>
    <w:rsid w:val="001416A9"/>
    <w:rsid w:val="001416F5"/>
    <w:rsid w:val="00141D16"/>
    <w:rsid w:val="00141D98"/>
    <w:rsid w:val="00141D9A"/>
    <w:rsid w:val="001420B5"/>
    <w:rsid w:val="001421BD"/>
    <w:rsid w:val="0014247E"/>
    <w:rsid w:val="001424B1"/>
    <w:rsid w:val="00142632"/>
    <w:rsid w:val="00142AA3"/>
    <w:rsid w:val="00142E49"/>
    <w:rsid w:val="001432E3"/>
    <w:rsid w:val="0014350C"/>
    <w:rsid w:val="00143DFF"/>
    <w:rsid w:val="001440ED"/>
    <w:rsid w:val="001440F5"/>
    <w:rsid w:val="00144302"/>
    <w:rsid w:val="00144BA9"/>
    <w:rsid w:val="00144C1A"/>
    <w:rsid w:val="00144C29"/>
    <w:rsid w:val="00144D2B"/>
    <w:rsid w:val="00144F3C"/>
    <w:rsid w:val="001451DF"/>
    <w:rsid w:val="00145333"/>
    <w:rsid w:val="00145850"/>
    <w:rsid w:val="001459D9"/>
    <w:rsid w:val="00145A40"/>
    <w:rsid w:val="001460E8"/>
    <w:rsid w:val="00146162"/>
    <w:rsid w:val="0014634A"/>
    <w:rsid w:val="00146848"/>
    <w:rsid w:val="00146889"/>
    <w:rsid w:val="00146CFE"/>
    <w:rsid w:val="00146DDA"/>
    <w:rsid w:val="00146E8A"/>
    <w:rsid w:val="00146F82"/>
    <w:rsid w:val="00147080"/>
    <w:rsid w:val="0014716E"/>
    <w:rsid w:val="001471FF"/>
    <w:rsid w:val="00147249"/>
    <w:rsid w:val="001473EB"/>
    <w:rsid w:val="00147AD4"/>
    <w:rsid w:val="00147CB8"/>
    <w:rsid w:val="00147F7F"/>
    <w:rsid w:val="0015042E"/>
    <w:rsid w:val="0015058C"/>
    <w:rsid w:val="0015094E"/>
    <w:rsid w:val="001509ED"/>
    <w:rsid w:val="00150BA7"/>
    <w:rsid w:val="00150DBC"/>
    <w:rsid w:val="0015114A"/>
    <w:rsid w:val="001511A2"/>
    <w:rsid w:val="001511D9"/>
    <w:rsid w:val="0015131B"/>
    <w:rsid w:val="001514B7"/>
    <w:rsid w:val="0015179A"/>
    <w:rsid w:val="00151D5C"/>
    <w:rsid w:val="001522C8"/>
    <w:rsid w:val="001522DA"/>
    <w:rsid w:val="00152A91"/>
    <w:rsid w:val="00152C53"/>
    <w:rsid w:val="00153653"/>
    <w:rsid w:val="001538DF"/>
    <w:rsid w:val="00153A88"/>
    <w:rsid w:val="00153B84"/>
    <w:rsid w:val="00153C8D"/>
    <w:rsid w:val="00153F01"/>
    <w:rsid w:val="0015432C"/>
    <w:rsid w:val="0015445F"/>
    <w:rsid w:val="0015477A"/>
    <w:rsid w:val="00154B23"/>
    <w:rsid w:val="00154B65"/>
    <w:rsid w:val="00154B94"/>
    <w:rsid w:val="00154D3C"/>
    <w:rsid w:val="0015508D"/>
    <w:rsid w:val="001552E9"/>
    <w:rsid w:val="001557C2"/>
    <w:rsid w:val="00155832"/>
    <w:rsid w:val="00155893"/>
    <w:rsid w:val="00155A3D"/>
    <w:rsid w:val="00155B03"/>
    <w:rsid w:val="00155EE2"/>
    <w:rsid w:val="00155FA6"/>
    <w:rsid w:val="0015600B"/>
    <w:rsid w:val="001562C2"/>
    <w:rsid w:val="001563FD"/>
    <w:rsid w:val="001568E9"/>
    <w:rsid w:val="00156AB5"/>
    <w:rsid w:val="00156AE6"/>
    <w:rsid w:val="00157024"/>
    <w:rsid w:val="00157042"/>
    <w:rsid w:val="001573DD"/>
    <w:rsid w:val="00157865"/>
    <w:rsid w:val="0015794F"/>
    <w:rsid w:val="00157CDD"/>
    <w:rsid w:val="00157E49"/>
    <w:rsid w:val="001602E4"/>
    <w:rsid w:val="001602F3"/>
    <w:rsid w:val="00160396"/>
    <w:rsid w:val="0016088E"/>
    <w:rsid w:val="0016090C"/>
    <w:rsid w:val="00160923"/>
    <w:rsid w:val="00160AFA"/>
    <w:rsid w:val="00160C14"/>
    <w:rsid w:val="001612C2"/>
    <w:rsid w:val="00161454"/>
    <w:rsid w:val="001614AF"/>
    <w:rsid w:val="00161A6D"/>
    <w:rsid w:val="00161C74"/>
    <w:rsid w:val="00161F7F"/>
    <w:rsid w:val="00161FAC"/>
    <w:rsid w:val="00162138"/>
    <w:rsid w:val="0016216F"/>
    <w:rsid w:val="0016223F"/>
    <w:rsid w:val="001622AF"/>
    <w:rsid w:val="00162517"/>
    <w:rsid w:val="0016312C"/>
    <w:rsid w:val="00163BCC"/>
    <w:rsid w:val="00163DB5"/>
    <w:rsid w:val="00163F3A"/>
    <w:rsid w:val="0016421E"/>
    <w:rsid w:val="00164BE6"/>
    <w:rsid w:val="00164C14"/>
    <w:rsid w:val="00164C26"/>
    <w:rsid w:val="00164CBF"/>
    <w:rsid w:val="00164D5A"/>
    <w:rsid w:val="0016510C"/>
    <w:rsid w:val="00165297"/>
    <w:rsid w:val="001652F4"/>
    <w:rsid w:val="00165723"/>
    <w:rsid w:val="00165786"/>
    <w:rsid w:val="00165A21"/>
    <w:rsid w:val="00165ED6"/>
    <w:rsid w:val="00166298"/>
    <w:rsid w:val="001669AC"/>
    <w:rsid w:val="00167866"/>
    <w:rsid w:val="00167EFD"/>
    <w:rsid w:val="0017017D"/>
    <w:rsid w:val="001705D7"/>
    <w:rsid w:val="001706CE"/>
    <w:rsid w:val="00170881"/>
    <w:rsid w:val="00170A9F"/>
    <w:rsid w:val="00170AD3"/>
    <w:rsid w:val="001712AC"/>
    <w:rsid w:val="00171510"/>
    <w:rsid w:val="0017172B"/>
    <w:rsid w:val="00171822"/>
    <w:rsid w:val="00171A84"/>
    <w:rsid w:val="00171B45"/>
    <w:rsid w:val="00171BAA"/>
    <w:rsid w:val="00171BF0"/>
    <w:rsid w:val="00171C4F"/>
    <w:rsid w:val="00171D35"/>
    <w:rsid w:val="00171DD2"/>
    <w:rsid w:val="00171F96"/>
    <w:rsid w:val="00172062"/>
    <w:rsid w:val="00172561"/>
    <w:rsid w:val="001726FF"/>
    <w:rsid w:val="00172895"/>
    <w:rsid w:val="00173197"/>
    <w:rsid w:val="001731DB"/>
    <w:rsid w:val="001732E1"/>
    <w:rsid w:val="0017340E"/>
    <w:rsid w:val="00173695"/>
    <w:rsid w:val="001736FE"/>
    <w:rsid w:val="00173C03"/>
    <w:rsid w:val="00173CB8"/>
    <w:rsid w:val="00173E33"/>
    <w:rsid w:val="00173E74"/>
    <w:rsid w:val="00173EF4"/>
    <w:rsid w:val="00174180"/>
    <w:rsid w:val="001742FC"/>
    <w:rsid w:val="00174300"/>
    <w:rsid w:val="001743B2"/>
    <w:rsid w:val="00174416"/>
    <w:rsid w:val="0017452F"/>
    <w:rsid w:val="0017485C"/>
    <w:rsid w:val="001749BC"/>
    <w:rsid w:val="00174AD1"/>
    <w:rsid w:val="00174B3E"/>
    <w:rsid w:val="00174EE6"/>
    <w:rsid w:val="001754C2"/>
    <w:rsid w:val="00175675"/>
    <w:rsid w:val="001756DB"/>
    <w:rsid w:val="00175745"/>
    <w:rsid w:val="0017582C"/>
    <w:rsid w:val="00175C40"/>
    <w:rsid w:val="00175E02"/>
    <w:rsid w:val="00175F9E"/>
    <w:rsid w:val="00176259"/>
    <w:rsid w:val="0017625C"/>
    <w:rsid w:val="0017646E"/>
    <w:rsid w:val="001764FA"/>
    <w:rsid w:val="0017678F"/>
    <w:rsid w:val="00176B22"/>
    <w:rsid w:val="00176BA8"/>
    <w:rsid w:val="00176D0C"/>
    <w:rsid w:val="00177042"/>
    <w:rsid w:val="0017705C"/>
    <w:rsid w:val="001771AB"/>
    <w:rsid w:val="001771EF"/>
    <w:rsid w:val="00177234"/>
    <w:rsid w:val="001772E0"/>
    <w:rsid w:val="0017782A"/>
    <w:rsid w:val="0017799F"/>
    <w:rsid w:val="00177CE4"/>
    <w:rsid w:val="00177FD4"/>
    <w:rsid w:val="00180207"/>
    <w:rsid w:val="00180283"/>
    <w:rsid w:val="00180475"/>
    <w:rsid w:val="0018050D"/>
    <w:rsid w:val="00180601"/>
    <w:rsid w:val="00180F51"/>
    <w:rsid w:val="001813F7"/>
    <w:rsid w:val="0018197C"/>
    <w:rsid w:val="00181AF1"/>
    <w:rsid w:val="00181E6C"/>
    <w:rsid w:val="00181F8E"/>
    <w:rsid w:val="0018205C"/>
    <w:rsid w:val="00182216"/>
    <w:rsid w:val="0018225C"/>
    <w:rsid w:val="001822B9"/>
    <w:rsid w:val="00182762"/>
    <w:rsid w:val="00182970"/>
    <w:rsid w:val="00182AEA"/>
    <w:rsid w:val="00182C23"/>
    <w:rsid w:val="00182EE2"/>
    <w:rsid w:val="00182F4C"/>
    <w:rsid w:val="00182FB6"/>
    <w:rsid w:val="0018310F"/>
    <w:rsid w:val="0018342D"/>
    <w:rsid w:val="0018386D"/>
    <w:rsid w:val="00183FCB"/>
    <w:rsid w:val="00184171"/>
    <w:rsid w:val="0018419F"/>
    <w:rsid w:val="001842F7"/>
    <w:rsid w:val="0018433E"/>
    <w:rsid w:val="00184A4F"/>
    <w:rsid w:val="00184A8B"/>
    <w:rsid w:val="00184B84"/>
    <w:rsid w:val="00184FB8"/>
    <w:rsid w:val="001850DF"/>
    <w:rsid w:val="001850F3"/>
    <w:rsid w:val="00185166"/>
    <w:rsid w:val="0018535B"/>
    <w:rsid w:val="00186235"/>
    <w:rsid w:val="00186238"/>
    <w:rsid w:val="00186887"/>
    <w:rsid w:val="00186EAA"/>
    <w:rsid w:val="00186F68"/>
    <w:rsid w:val="00186F6F"/>
    <w:rsid w:val="0019041E"/>
    <w:rsid w:val="001904B0"/>
    <w:rsid w:val="001904EB"/>
    <w:rsid w:val="0019059B"/>
    <w:rsid w:val="001909B6"/>
    <w:rsid w:val="00190BE9"/>
    <w:rsid w:val="00190C06"/>
    <w:rsid w:val="00190D58"/>
    <w:rsid w:val="00190E68"/>
    <w:rsid w:val="001911B8"/>
    <w:rsid w:val="00191403"/>
    <w:rsid w:val="001915A3"/>
    <w:rsid w:val="00191904"/>
    <w:rsid w:val="00191E85"/>
    <w:rsid w:val="0019211B"/>
    <w:rsid w:val="001924B1"/>
    <w:rsid w:val="00192594"/>
    <w:rsid w:val="00192D4F"/>
    <w:rsid w:val="00192D54"/>
    <w:rsid w:val="00192D8C"/>
    <w:rsid w:val="00192E00"/>
    <w:rsid w:val="00192E65"/>
    <w:rsid w:val="00192FA4"/>
    <w:rsid w:val="00193BE1"/>
    <w:rsid w:val="00193D03"/>
    <w:rsid w:val="00193ED5"/>
    <w:rsid w:val="0019410B"/>
    <w:rsid w:val="00194290"/>
    <w:rsid w:val="001942FB"/>
    <w:rsid w:val="00194810"/>
    <w:rsid w:val="001948E2"/>
    <w:rsid w:val="00194A57"/>
    <w:rsid w:val="00194B81"/>
    <w:rsid w:val="00194F53"/>
    <w:rsid w:val="00195135"/>
    <w:rsid w:val="00195188"/>
    <w:rsid w:val="00195365"/>
    <w:rsid w:val="001953E8"/>
    <w:rsid w:val="001956DC"/>
    <w:rsid w:val="001959EE"/>
    <w:rsid w:val="00195A81"/>
    <w:rsid w:val="00195B1C"/>
    <w:rsid w:val="00195D4C"/>
    <w:rsid w:val="001966E9"/>
    <w:rsid w:val="00196788"/>
    <w:rsid w:val="0019691B"/>
    <w:rsid w:val="00196A25"/>
    <w:rsid w:val="00196A86"/>
    <w:rsid w:val="00196AB2"/>
    <w:rsid w:val="00196C7D"/>
    <w:rsid w:val="00196D38"/>
    <w:rsid w:val="00196E50"/>
    <w:rsid w:val="00196F92"/>
    <w:rsid w:val="001971BA"/>
    <w:rsid w:val="0019720C"/>
    <w:rsid w:val="001972E4"/>
    <w:rsid w:val="001974C5"/>
    <w:rsid w:val="001976BF"/>
    <w:rsid w:val="00197735"/>
    <w:rsid w:val="0019775E"/>
    <w:rsid w:val="00197862"/>
    <w:rsid w:val="001978FB"/>
    <w:rsid w:val="00197944"/>
    <w:rsid w:val="001979AE"/>
    <w:rsid w:val="00197A34"/>
    <w:rsid w:val="00197A37"/>
    <w:rsid w:val="00197A6E"/>
    <w:rsid w:val="00197D0F"/>
    <w:rsid w:val="001A0161"/>
    <w:rsid w:val="001A0261"/>
    <w:rsid w:val="001A0359"/>
    <w:rsid w:val="001A0663"/>
    <w:rsid w:val="001A08AE"/>
    <w:rsid w:val="001A09F6"/>
    <w:rsid w:val="001A0AD6"/>
    <w:rsid w:val="001A0C69"/>
    <w:rsid w:val="001A0C7E"/>
    <w:rsid w:val="001A0F55"/>
    <w:rsid w:val="001A100A"/>
    <w:rsid w:val="001A116C"/>
    <w:rsid w:val="001A1485"/>
    <w:rsid w:val="001A15B0"/>
    <w:rsid w:val="001A1C68"/>
    <w:rsid w:val="001A2135"/>
    <w:rsid w:val="001A214E"/>
    <w:rsid w:val="001A26C6"/>
    <w:rsid w:val="001A270E"/>
    <w:rsid w:val="001A279C"/>
    <w:rsid w:val="001A27BF"/>
    <w:rsid w:val="001A2D61"/>
    <w:rsid w:val="001A31B4"/>
    <w:rsid w:val="001A32BF"/>
    <w:rsid w:val="001A397E"/>
    <w:rsid w:val="001A3ADF"/>
    <w:rsid w:val="001A3C5D"/>
    <w:rsid w:val="001A3F31"/>
    <w:rsid w:val="001A41C6"/>
    <w:rsid w:val="001A485B"/>
    <w:rsid w:val="001A48B6"/>
    <w:rsid w:val="001A48B8"/>
    <w:rsid w:val="001A4A0C"/>
    <w:rsid w:val="001A4BAC"/>
    <w:rsid w:val="001A4C4C"/>
    <w:rsid w:val="001A50EA"/>
    <w:rsid w:val="001A5502"/>
    <w:rsid w:val="001A5784"/>
    <w:rsid w:val="001A669C"/>
    <w:rsid w:val="001A6BFD"/>
    <w:rsid w:val="001A6DD7"/>
    <w:rsid w:val="001A710C"/>
    <w:rsid w:val="001A74ED"/>
    <w:rsid w:val="001A755A"/>
    <w:rsid w:val="001A7837"/>
    <w:rsid w:val="001A7AA4"/>
    <w:rsid w:val="001B035E"/>
    <w:rsid w:val="001B0391"/>
    <w:rsid w:val="001B046B"/>
    <w:rsid w:val="001B0591"/>
    <w:rsid w:val="001B074F"/>
    <w:rsid w:val="001B08AB"/>
    <w:rsid w:val="001B09B1"/>
    <w:rsid w:val="001B0D15"/>
    <w:rsid w:val="001B0E9A"/>
    <w:rsid w:val="001B0F08"/>
    <w:rsid w:val="001B1040"/>
    <w:rsid w:val="001B14D3"/>
    <w:rsid w:val="001B15A2"/>
    <w:rsid w:val="001B16BA"/>
    <w:rsid w:val="001B171A"/>
    <w:rsid w:val="001B1953"/>
    <w:rsid w:val="001B19F4"/>
    <w:rsid w:val="001B1AB8"/>
    <w:rsid w:val="001B1ACE"/>
    <w:rsid w:val="001B1BD7"/>
    <w:rsid w:val="001B1C49"/>
    <w:rsid w:val="001B1F23"/>
    <w:rsid w:val="001B21A3"/>
    <w:rsid w:val="001B2511"/>
    <w:rsid w:val="001B2636"/>
    <w:rsid w:val="001B287D"/>
    <w:rsid w:val="001B299A"/>
    <w:rsid w:val="001B2A48"/>
    <w:rsid w:val="001B2A91"/>
    <w:rsid w:val="001B2AE9"/>
    <w:rsid w:val="001B2FAE"/>
    <w:rsid w:val="001B3135"/>
    <w:rsid w:val="001B33DF"/>
    <w:rsid w:val="001B34E5"/>
    <w:rsid w:val="001B3876"/>
    <w:rsid w:val="001B3A38"/>
    <w:rsid w:val="001B3F04"/>
    <w:rsid w:val="001B414E"/>
    <w:rsid w:val="001B4265"/>
    <w:rsid w:val="001B42A5"/>
    <w:rsid w:val="001B4309"/>
    <w:rsid w:val="001B436E"/>
    <w:rsid w:val="001B4454"/>
    <w:rsid w:val="001B4459"/>
    <w:rsid w:val="001B450C"/>
    <w:rsid w:val="001B4517"/>
    <w:rsid w:val="001B4AE1"/>
    <w:rsid w:val="001B4B31"/>
    <w:rsid w:val="001B4F3F"/>
    <w:rsid w:val="001B4FD9"/>
    <w:rsid w:val="001B5243"/>
    <w:rsid w:val="001B5489"/>
    <w:rsid w:val="001B57A1"/>
    <w:rsid w:val="001B5BAB"/>
    <w:rsid w:val="001B5E65"/>
    <w:rsid w:val="001B5ED3"/>
    <w:rsid w:val="001B6327"/>
    <w:rsid w:val="001B63C5"/>
    <w:rsid w:val="001B6653"/>
    <w:rsid w:val="001B6685"/>
    <w:rsid w:val="001B69F5"/>
    <w:rsid w:val="001B6C6F"/>
    <w:rsid w:val="001B6D6E"/>
    <w:rsid w:val="001B6F4D"/>
    <w:rsid w:val="001B6F86"/>
    <w:rsid w:val="001B73CE"/>
    <w:rsid w:val="001B7592"/>
    <w:rsid w:val="001B764A"/>
    <w:rsid w:val="001B76CC"/>
    <w:rsid w:val="001B78DA"/>
    <w:rsid w:val="001B7D39"/>
    <w:rsid w:val="001B7E48"/>
    <w:rsid w:val="001C0094"/>
    <w:rsid w:val="001C06BC"/>
    <w:rsid w:val="001C0AF6"/>
    <w:rsid w:val="001C0D05"/>
    <w:rsid w:val="001C0E17"/>
    <w:rsid w:val="001C0F68"/>
    <w:rsid w:val="001C0FF3"/>
    <w:rsid w:val="001C0FFC"/>
    <w:rsid w:val="001C10F2"/>
    <w:rsid w:val="001C130F"/>
    <w:rsid w:val="001C1384"/>
    <w:rsid w:val="001C1E3B"/>
    <w:rsid w:val="001C21A0"/>
    <w:rsid w:val="001C2250"/>
    <w:rsid w:val="001C24D4"/>
    <w:rsid w:val="001C295D"/>
    <w:rsid w:val="001C2D05"/>
    <w:rsid w:val="001C2DAC"/>
    <w:rsid w:val="001C315A"/>
    <w:rsid w:val="001C33B9"/>
    <w:rsid w:val="001C3585"/>
    <w:rsid w:val="001C3621"/>
    <w:rsid w:val="001C365E"/>
    <w:rsid w:val="001C3B82"/>
    <w:rsid w:val="001C3C8E"/>
    <w:rsid w:val="001C3CD0"/>
    <w:rsid w:val="001C3EA9"/>
    <w:rsid w:val="001C42CD"/>
    <w:rsid w:val="001C4454"/>
    <w:rsid w:val="001C4920"/>
    <w:rsid w:val="001C49A5"/>
    <w:rsid w:val="001C4ADF"/>
    <w:rsid w:val="001C4D58"/>
    <w:rsid w:val="001C4D89"/>
    <w:rsid w:val="001C4E98"/>
    <w:rsid w:val="001C4EF3"/>
    <w:rsid w:val="001C4F16"/>
    <w:rsid w:val="001C5190"/>
    <w:rsid w:val="001C548F"/>
    <w:rsid w:val="001C58D6"/>
    <w:rsid w:val="001C59AE"/>
    <w:rsid w:val="001C5AD3"/>
    <w:rsid w:val="001C5C39"/>
    <w:rsid w:val="001C5E03"/>
    <w:rsid w:val="001C5F5B"/>
    <w:rsid w:val="001C5FC0"/>
    <w:rsid w:val="001C605C"/>
    <w:rsid w:val="001C60DC"/>
    <w:rsid w:val="001C60E4"/>
    <w:rsid w:val="001C6222"/>
    <w:rsid w:val="001C62B2"/>
    <w:rsid w:val="001C62BC"/>
    <w:rsid w:val="001C654B"/>
    <w:rsid w:val="001C6641"/>
    <w:rsid w:val="001C664E"/>
    <w:rsid w:val="001C6749"/>
    <w:rsid w:val="001C675D"/>
    <w:rsid w:val="001C6926"/>
    <w:rsid w:val="001C69EC"/>
    <w:rsid w:val="001C69FB"/>
    <w:rsid w:val="001C6A53"/>
    <w:rsid w:val="001C6C26"/>
    <w:rsid w:val="001C6E33"/>
    <w:rsid w:val="001C6F13"/>
    <w:rsid w:val="001C7026"/>
    <w:rsid w:val="001C7125"/>
    <w:rsid w:val="001C7292"/>
    <w:rsid w:val="001C7385"/>
    <w:rsid w:val="001C746E"/>
    <w:rsid w:val="001C7881"/>
    <w:rsid w:val="001C78CA"/>
    <w:rsid w:val="001C7902"/>
    <w:rsid w:val="001C7905"/>
    <w:rsid w:val="001C7BAD"/>
    <w:rsid w:val="001C7F00"/>
    <w:rsid w:val="001D07B0"/>
    <w:rsid w:val="001D098B"/>
    <w:rsid w:val="001D0E35"/>
    <w:rsid w:val="001D10EB"/>
    <w:rsid w:val="001D1233"/>
    <w:rsid w:val="001D15BD"/>
    <w:rsid w:val="001D1D6A"/>
    <w:rsid w:val="001D1DF2"/>
    <w:rsid w:val="001D23BA"/>
    <w:rsid w:val="001D2455"/>
    <w:rsid w:val="001D2776"/>
    <w:rsid w:val="001D27AE"/>
    <w:rsid w:val="001D2A85"/>
    <w:rsid w:val="001D2DC3"/>
    <w:rsid w:val="001D2E31"/>
    <w:rsid w:val="001D2EAA"/>
    <w:rsid w:val="001D317F"/>
    <w:rsid w:val="001D31CB"/>
    <w:rsid w:val="001D3503"/>
    <w:rsid w:val="001D3534"/>
    <w:rsid w:val="001D366A"/>
    <w:rsid w:val="001D38C7"/>
    <w:rsid w:val="001D3DAE"/>
    <w:rsid w:val="001D401A"/>
    <w:rsid w:val="001D41CF"/>
    <w:rsid w:val="001D440E"/>
    <w:rsid w:val="001D4519"/>
    <w:rsid w:val="001D457F"/>
    <w:rsid w:val="001D4626"/>
    <w:rsid w:val="001D47F4"/>
    <w:rsid w:val="001D4998"/>
    <w:rsid w:val="001D4A15"/>
    <w:rsid w:val="001D4C54"/>
    <w:rsid w:val="001D5147"/>
    <w:rsid w:val="001D58C4"/>
    <w:rsid w:val="001D59A4"/>
    <w:rsid w:val="001D59DB"/>
    <w:rsid w:val="001D5B79"/>
    <w:rsid w:val="001D5B91"/>
    <w:rsid w:val="001D5E84"/>
    <w:rsid w:val="001D5FC2"/>
    <w:rsid w:val="001D640B"/>
    <w:rsid w:val="001D641F"/>
    <w:rsid w:val="001D6436"/>
    <w:rsid w:val="001D6544"/>
    <w:rsid w:val="001D66FA"/>
    <w:rsid w:val="001D6B07"/>
    <w:rsid w:val="001D6D9A"/>
    <w:rsid w:val="001D6E77"/>
    <w:rsid w:val="001D75CC"/>
    <w:rsid w:val="001D771F"/>
    <w:rsid w:val="001D7AC2"/>
    <w:rsid w:val="001E016A"/>
    <w:rsid w:val="001E0250"/>
    <w:rsid w:val="001E0A30"/>
    <w:rsid w:val="001E0DA9"/>
    <w:rsid w:val="001E0DC5"/>
    <w:rsid w:val="001E1012"/>
    <w:rsid w:val="001E1577"/>
    <w:rsid w:val="001E162F"/>
    <w:rsid w:val="001E1630"/>
    <w:rsid w:val="001E1BAF"/>
    <w:rsid w:val="001E1BBA"/>
    <w:rsid w:val="001E1DBE"/>
    <w:rsid w:val="001E1FD3"/>
    <w:rsid w:val="001E225C"/>
    <w:rsid w:val="001E2260"/>
    <w:rsid w:val="001E2321"/>
    <w:rsid w:val="001E242F"/>
    <w:rsid w:val="001E24FE"/>
    <w:rsid w:val="001E2715"/>
    <w:rsid w:val="001E2820"/>
    <w:rsid w:val="001E2D75"/>
    <w:rsid w:val="001E2E5F"/>
    <w:rsid w:val="001E2FCA"/>
    <w:rsid w:val="001E32A8"/>
    <w:rsid w:val="001E348E"/>
    <w:rsid w:val="001E349F"/>
    <w:rsid w:val="001E34FE"/>
    <w:rsid w:val="001E36E1"/>
    <w:rsid w:val="001E3782"/>
    <w:rsid w:val="001E37C9"/>
    <w:rsid w:val="001E39E0"/>
    <w:rsid w:val="001E3C4A"/>
    <w:rsid w:val="001E3D64"/>
    <w:rsid w:val="001E3DB8"/>
    <w:rsid w:val="001E41E8"/>
    <w:rsid w:val="001E4352"/>
    <w:rsid w:val="001E4356"/>
    <w:rsid w:val="001E4390"/>
    <w:rsid w:val="001E4817"/>
    <w:rsid w:val="001E4A35"/>
    <w:rsid w:val="001E4B9C"/>
    <w:rsid w:val="001E4D5C"/>
    <w:rsid w:val="001E4E7F"/>
    <w:rsid w:val="001E4F25"/>
    <w:rsid w:val="001E4FBF"/>
    <w:rsid w:val="001E5052"/>
    <w:rsid w:val="001E505F"/>
    <w:rsid w:val="001E51CA"/>
    <w:rsid w:val="001E5266"/>
    <w:rsid w:val="001E55C7"/>
    <w:rsid w:val="001E5799"/>
    <w:rsid w:val="001E599F"/>
    <w:rsid w:val="001E59CB"/>
    <w:rsid w:val="001E5F1E"/>
    <w:rsid w:val="001E60B9"/>
    <w:rsid w:val="001E6A30"/>
    <w:rsid w:val="001E6BB5"/>
    <w:rsid w:val="001E6E72"/>
    <w:rsid w:val="001E7108"/>
    <w:rsid w:val="001E7600"/>
    <w:rsid w:val="001E7669"/>
    <w:rsid w:val="001E7763"/>
    <w:rsid w:val="001E7793"/>
    <w:rsid w:val="001E77CA"/>
    <w:rsid w:val="001E7876"/>
    <w:rsid w:val="001E7958"/>
    <w:rsid w:val="001E7A76"/>
    <w:rsid w:val="001E7B84"/>
    <w:rsid w:val="001E7DFA"/>
    <w:rsid w:val="001E7F65"/>
    <w:rsid w:val="001F00A7"/>
    <w:rsid w:val="001F02A1"/>
    <w:rsid w:val="001F037A"/>
    <w:rsid w:val="001F048A"/>
    <w:rsid w:val="001F0A63"/>
    <w:rsid w:val="001F0AF8"/>
    <w:rsid w:val="001F0EF4"/>
    <w:rsid w:val="001F0F74"/>
    <w:rsid w:val="001F1423"/>
    <w:rsid w:val="001F15F4"/>
    <w:rsid w:val="001F16D3"/>
    <w:rsid w:val="001F196A"/>
    <w:rsid w:val="001F1AD4"/>
    <w:rsid w:val="001F1E07"/>
    <w:rsid w:val="001F1F56"/>
    <w:rsid w:val="001F2364"/>
    <w:rsid w:val="001F23BB"/>
    <w:rsid w:val="001F286A"/>
    <w:rsid w:val="001F286E"/>
    <w:rsid w:val="001F294E"/>
    <w:rsid w:val="001F2A8A"/>
    <w:rsid w:val="001F2ABE"/>
    <w:rsid w:val="001F2B6C"/>
    <w:rsid w:val="001F312E"/>
    <w:rsid w:val="001F3488"/>
    <w:rsid w:val="001F34F7"/>
    <w:rsid w:val="001F3724"/>
    <w:rsid w:val="001F3A41"/>
    <w:rsid w:val="001F3A87"/>
    <w:rsid w:val="001F3FAA"/>
    <w:rsid w:val="001F4135"/>
    <w:rsid w:val="001F4252"/>
    <w:rsid w:val="001F49F5"/>
    <w:rsid w:val="001F4D24"/>
    <w:rsid w:val="001F527E"/>
    <w:rsid w:val="001F5392"/>
    <w:rsid w:val="001F53B9"/>
    <w:rsid w:val="001F53D1"/>
    <w:rsid w:val="001F5B9A"/>
    <w:rsid w:val="001F5C50"/>
    <w:rsid w:val="001F61D7"/>
    <w:rsid w:val="001F642F"/>
    <w:rsid w:val="001F6738"/>
    <w:rsid w:val="001F702F"/>
    <w:rsid w:val="001F71BF"/>
    <w:rsid w:val="001F722C"/>
    <w:rsid w:val="001F76EC"/>
    <w:rsid w:val="001F7793"/>
    <w:rsid w:val="001F77B3"/>
    <w:rsid w:val="001F7F2C"/>
    <w:rsid w:val="0020016F"/>
    <w:rsid w:val="00200197"/>
    <w:rsid w:val="00200690"/>
    <w:rsid w:val="00200717"/>
    <w:rsid w:val="002007AC"/>
    <w:rsid w:val="002008E9"/>
    <w:rsid w:val="00200DEA"/>
    <w:rsid w:val="00200F29"/>
    <w:rsid w:val="00201738"/>
    <w:rsid w:val="00201835"/>
    <w:rsid w:val="00202028"/>
    <w:rsid w:val="00202455"/>
    <w:rsid w:val="002024F0"/>
    <w:rsid w:val="0020295E"/>
    <w:rsid w:val="002035B5"/>
    <w:rsid w:val="002035E6"/>
    <w:rsid w:val="00203663"/>
    <w:rsid w:val="0020371B"/>
    <w:rsid w:val="002037C8"/>
    <w:rsid w:val="00203977"/>
    <w:rsid w:val="00203C4D"/>
    <w:rsid w:val="00203FF2"/>
    <w:rsid w:val="002041CA"/>
    <w:rsid w:val="00204237"/>
    <w:rsid w:val="002047E8"/>
    <w:rsid w:val="00204A4B"/>
    <w:rsid w:val="00204D86"/>
    <w:rsid w:val="0020531D"/>
    <w:rsid w:val="002054EE"/>
    <w:rsid w:val="00205694"/>
    <w:rsid w:val="00205754"/>
    <w:rsid w:val="00205B4C"/>
    <w:rsid w:val="00205FA0"/>
    <w:rsid w:val="0020618B"/>
    <w:rsid w:val="0020621D"/>
    <w:rsid w:val="002063FB"/>
    <w:rsid w:val="00206945"/>
    <w:rsid w:val="00207010"/>
    <w:rsid w:val="00207437"/>
    <w:rsid w:val="00207591"/>
    <w:rsid w:val="002075EF"/>
    <w:rsid w:val="00207753"/>
    <w:rsid w:val="00207E09"/>
    <w:rsid w:val="00207E3E"/>
    <w:rsid w:val="00207FDE"/>
    <w:rsid w:val="0021022B"/>
    <w:rsid w:val="0021027B"/>
    <w:rsid w:val="00210515"/>
    <w:rsid w:val="002106E3"/>
    <w:rsid w:val="00210CCF"/>
    <w:rsid w:val="00210E98"/>
    <w:rsid w:val="0021139D"/>
    <w:rsid w:val="0021145A"/>
    <w:rsid w:val="002116F6"/>
    <w:rsid w:val="002117C8"/>
    <w:rsid w:val="002118FC"/>
    <w:rsid w:val="00211F5D"/>
    <w:rsid w:val="00212077"/>
    <w:rsid w:val="00212A6B"/>
    <w:rsid w:val="00212A7C"/>
    <w:rsid w:val="00212E80"/>
    <w:rsid w:val="00212F83"/>
    <w:rsid w:val="00212FD9"/>
    <w:rsid w:val="002130B4"/>
    <w:rsid w:val="002132EE"/>
    <w:rsid w:val="002134A9"/>
    <w:rsid w:val="0021370E"/>
    <w:rsid w:val="00213A38"/>
    <w:rsid w:val="00213BFA"/>
    <w:rsid w:val="00213CA3"/>
    <w:rsid w:val="00213FA7"/>
    <w:rsid w:val="002140D7"/>
    <w:rsid w:val="0021425D"/>
    <w:rsid w:val="00214574"/>
    <w:rsid w:val="002146B2"/>
    <w:rsid w:val="00214701"/>
    <w:rsid w:val="00214AE1"/>
    <w:rsid w:val="00214BD3"/>
    <w:rsid w:val="00214C9B"/>
    <w:rsid w:val="00214F22"/>
    <w:rsid w:val="00214F39"/>
    <w:rsid w:val="0021539F"/>
    <w:rsid w:val="0021557B"/>
    <w:rsid w:val="002155E7"/>
    <w:rsid w:val="002158F1"/>
    <w:rsid w:val="00215C4B"/>
    <w:rsid w:val="00215C8A"/>
    <w:rsid w:val="00215D38"/>
    <w:rsid w:val="00215E57"/>
    <w:rsid w:val="00215E8C"/>
    <w:rsid w:val="00216101"/>
    <w:rsid w:val="0021628E"/>
    <w:rsid w:val="002164F6"/>
    <w:rsid w:val="00216712"/>
    <w:rsid w:val="00216CE3"/>
    <w:rsid w:val="00217138"/>
    <w:rsid w:val="00217263"/>
    <w:rsid w:val="002172D8"/>
    <w:rsid w:val="0021784E"/>
    <w:rsid w:val="00217D00"/>
    <w:rsid w:val="00217EF4"/>
    <w:rsid w:val="00220279"/>
    <w:rsid w:val="002202EB"/>
    <w:rsid w:val="00220644"/>
    <w:rsid w:val="0022080A"/>
    <w:rsid w:val="002208FC"/>
    <w:rsid w:val="00220A78"/>
    <w:rsid w:val="00220B0B"/>
    <w:rsid w:val="00220BF2"/>
    <w:rsid w:val="00220FE4"/>
    <w:rsid w:val="002211C2"/>
    <w:rsid w:val="0022120A"/>
    <w:rsid w:val="002213D1"/>
    <w:rsid w:val="002217AC"/>
    <w:rsid w:val="00221984"/>
    <w:rsid w:val="002219C3"/>
    <w:rsid w:val="00221A36"/>
    <w:rsid w:val="00221A5E"/>
    <w:rsid w:val="00221AC6"/>
    <w:rsid w:val="00221D58"/>
    <w:rsid w:val="00221DA0"/>
    <w:rsid w:val="00222045"/>
    <w:rsid w:val="00222917"/>
    <w:rsid w:val="002229D2"/>
    <w:rsid w:val="00222A2B"/>
    <w:rsid w:val="002232B0"/>
    <w:rsid w:val="0022346B"/>
    <w:rsid w:val="0022348C"/>
    <w:rsid w:val="0022382A"/>
    <w:rsid w:val="0022389A"/>
    <w:rsid w:val="002239BB"/>
    <w:rsid w:val="002239D2"/>
    <w:rsid w:val="00223FCE"/>
    <w:rsid w:val="002240B5"/>
    <w:rsid w:val="00224308"/>
    <w:rsid w:val="0022440A"/>
    <w:rsid w:val="002244CD"/>
    <w:rsid w:val="00224AA5"/>
    <w:rsid w:val="00224C3B"/>
    <w:rsid w:val="00224D4C"/>
    <w:rsid w:val="00224DBA"/>
    <w:rsid w:val="00224E2E"/>
    <w:rsid w:val="002252D3"/>
    <w:rsid w:val="002254DD"/>
    <w:rsid w:val="002254F2"/>
    <w:rsid w:val="00225796"/>
    <w:rsid w:val="002257F0"/>
    <w:rsid w:val="00225AEF"/>
    <w:rsid w:val="00226409"/>
    <w:rsid w:val="0022654D"/>
    <w:rsid w:val="00226601"/>
    <w:rsid w:val="002268E7"/>
    <w:rsid w:val="00226F80"/>
    <w:rsid w:val="00226F83"/>
    <w:rsid w:val="00226F88"/>
    <w:rsid w:val="00226FD1"/>
    <w:rsid w:val="00227086"/>
    <w:rsid w:val="00227149"/>
    <w:rsid w:val="002273BD"/>
    <w:rsid w:val="00227510"/>
    <w:rsid w:val="00227758"/>
    <w:rsid w:val="00227BDB"/>
    <w:rsid w:val="00227F31"/>
    <w:rsid w:val="00227F32"/>
    <w:rsid w:val="002303AF"/>
    <w:rsid w:val="002304FF"/>
    <w:rsid w:val="00230923"/>
    <w:rsid w:val="00230965"/>
    <w:rsid w:val="00230CB3"/>
    <w:rsid w:val="00230EE8"/>
    <w:rsid w:val="00231367"/>
    <w:rsid w:val="002319AC"/>
    <w:rsid w:val="00231A59"/>
    <w:rsid w:val="00231B3F"/>
    <w:rsid w:val="00231D84"/>
    <w:rsid w:val="00232465"/>
    <w:rsid w:val="0023289C"/>
    <w:rsid w:val="00232E69"/>
    <w:rsid w:val="0023313E"/>
    <w:rsid w:val="002338AB"/>
    <w:rsid w:val="002338D5"/>
    <w:rsid w:val="00233962"/>
    <w:rsid w:val="00234055"/>
    <w:rsid w:val="00234572"/>
    <w:rsid w:val="00234684"/>
    <w:rsid w:val="0023473A"/>
    <w:rsid w:val="0023478E"/>
    <w:rsid w:val="002347DD"/>
    <w:rsid w:val="00234927"/>
    <w:rsid w:val="00234932"/>
    <w:rsid w:val="00234B3D"/>
    <w:rsid w:val="00234E4D"/>
    <w:rsid w:val="00235209"/>
    <w:rsid w:val="0023538D"/>
    <w:rsid w:val="00235611"/>
    <w:rsid w:val="002356CA"/>
    <w:rsid w:val="00235D4A"/>
    <w:rsid w:val="00235E21"/>
    <w:rsid w:val="00235E5A"/>
    <w:rsid w:val="00235F74"/>
    <w:rsid w:val="00236131"/>
    <w:rsid w:val="002362A9"/>
    <w:rsid w:val="002362BB"/>
    <w:rsid w:val="002363D8"/>
    <w:rsid w:val="00236F70"/>
    <w:rsid w:val="00236FB7"/>
    <w:rsid w:val="00237045"/>
    <w:rsid w:val="002374BA"/>
    <w:rsid w:val="002374C3"/>
    <w:rsid w:val="002379DF"/>
    <w:rsid w:val="00237F71"/>
    <w:rsid w:val="00240096"/>
    <w:rsid w:val="002401F3"/>
    <w:rsid w:val="002402D7"/>
    <w:rsid w:val="002403FB"/>
    <w:rsid w:val="00240640"/>
    <w:rsid w:val="002406A9"/>
    <w:rsid w:val="0024087A"/>
    <w:rsid w:val="002409E4"/>
    <w:rsid w:val="00240E63"/>
    <w:rsid w:val="00241119"/>
    <w:rsid w:val="00241187"/>
    <w:rsid w:val="002412DC"/>
    <w:rsid w:val="002414E2"/>
    <w:rsid w:val="0024177F"/>
    <w:rsid w:val="00241A4D"/>
    <w:rsid w:val="00241BD9"/>
    <w:rsid w:val="00241F97"/>
    <w:rsid w:val="002421E1"/>
    <w:rsid w:val="00242735"/>
    <w:rsid w:val="00242AB4"/>
    <w:rsid w:val="00242B38"/>
    <w:rsid w:val="00242C31"/>
    <w:rsid w:val="00242DB3"/>
    <w:rsid w:val="00242DE1"/>
    <w:rsid w:val="00243186"/>
    <w:rsid w:val="0024360C"/>
    <w:rsid w:val="0024377E"/>
    <w:rsid w:val="0024397B"/>
    <w:rsid w:val="00243E2E"/>
    <w:rsid w:val="002443C3"/>
    <w:rsid w:val="0024449D"/>
    <w:rsid w:val="00244C9A"/>
    <w:rsid w:val="00244D27"/>
    <w:rsid w:val="00245095"/>
    <w:rsid w:val="002458C0"/>
    <w:rsid w:val="00245E6B"/>
    <w:rsid w:val="00245F1C"/>
    <w:rsid w:val="002463D0"/>
    <w:rsid w:val="00246549"/>
    <w:rsid w:val="002469C4"/>
    <w:rsid w:val="00246AD8"/>
    <w:rsid w:val="00246D3E"/>
    <w:rsid w:val="002473CA"/>
    <w:rsid w:val="0024751E"/>
    <w:rsid w:val="00247562"/>
    <w:rsid w:val="002476B3"/>
    <w:rsid w:val="0024772E"/>
    <w:rsid w:val="00247745"/>
    <w:rsid w:val="0024788F"/>
    <w:rsid w:val="0024792E"/>
    <w:rsid w:val="002479DB"/>
    <w:rsid w:val="00247A65"/>
    <w:rsid w:val="00247AC7"/>
    <w:rsid w:val="00247DE6"/>
    <w:rsid w:val="00247DFF"/>
    <w:rsid w:val="00247F01"/>
    <w:rsid w:val="00250190"/>
    <w:rsid w:val="0025026D"/>
    <w:rsid w:val="002506AE"/>
    <w:rsid w:val="00250909"/>
    <w:rsid w:val="00250D6A"/>
    <w:rsid w:val="00250DF8"/>
    <w:rsid w:val="00250FB2"/>
    <w:rsid w:val="00250FF5"/>
    <w:rsid w:val="00251260"/>
    <w:rsid w:val="002515F9"/>
    <w:rsid w:val="0025179B"/>
    <w:rsid w:val="00251886"/>
    <w:rsid w:val="00251A1F"/>
    <w:rsid w:val="00251A32"/>
    <w:rsid w:val="00251DBC"/>
    <w:rsid w:val="00251E31"/>
    <w:rsid w:val="00251F6E"/>
    <w:rsid w:val="00252027"/>
    <w:rsid w:val="002522C1"/>
    <w:rsid w:val="002524B1"/>
    <w:rsid w:val="002524BE"/>
    <w:rsid w:val="002526E9"/>
    <w:rsid w:val="002528F7"/>
    <w:rsid w:val="0025337E"/>
    <w:rsid w:val="002534FE"/>
    <w:rsid w:val="00253677"/>
    <w:rsid w:val="002537CF"/>
    <w:rsid w:val="002538BF"/>
    <w:rsid w:val="002539BB"/>
    <w:rsid w:val="00253B3F"/>
    <w:rsid w:val="00253B65"/>
    <w:rsid w:val="00253CE8"/>
    <w:rsid w:val="00253D2E"/>
    <w:rsid w:val="00253DC0"/>
    <w:rsid w:val="00253FBD"/>
    <w:rsid w:val="00253FBE"/>
    <w:rsid w:val="00254619"/>
    <w:rsid w:val="0025469A"/>
    <w:rsid w:val="00254943"/>
    <w:rsid w:val="002549BA"/>
    <w:rsid w:val="00254A5B"/>
    <w:rsid w:val="00254BFD"/>
    <w:rsid w:val="0025521F"/>
    <w:rsid w:val="00255517"/>
    <w:rsid w:val="002556C1"/>
    <w:rsid w:val="0025578F"/>
    <w:rsid w:val="00255906"/>
    <w:rsid w:val="00255BF5"/>
    <w:rsid w:val="00255BF8"/>
    <w:rsid w:val="00255EB7"/>
    <w:rsid w:val="00256296"/>
    <w:rsid w:val="00256409"/>
    <w:rsid w:val="00256A73"/>
    <w:rsid w:val="00256B77"/>
    <w:rsid w:val="00256F8E"/>
    <w:rsid w:val="002571D5"/>
    <w:rsid w:val="002579C8"/>
    <w:rsid w:val="002579D9"/>
    <w:rsid w:val="00257E77"/>
    <w:rsid w:val="002600F0"/>
    <w:rsid w:val="00260273"/>
    <w:rsid w:val="002602E3"/>
    <w:rsid w:val="00260375"/>
    <w:rsid w:val="0026051D"/>
    <w:rsid w:val="00260520"/>
    <w:rsid w:val="0026053E"/>
    <w:rsid w:val="00260575"/>
    <w:rsid w:val="002605B9"/>
    <w:rsid w:val="002605F9"/>
    <w:rsid w:val="00260A52"/>
    <w:rsid w:val="002613D3"/>
    <w:rsid w:val="00261473"/>
    <w:rsid w:val="00261614"/>
    <w:rsid w:val="00261F23"/>
    <w:rsid w:val="002623D8"/>
    <w:rsid w:val="0026240C"/>
    <w:rsid w:val="00262568"/>
    <w:rsid w:val="00262A20"/>
    <w:rsid w:val="00262ECB"/>
    <w:rsid w:val="00262F04"/>
    <w:rsid w:val="00262F89"/>
    <w:rsid w:val="00263356"/>
    <w:rsid w:val="002633BE"/>
    <w:rsid w:val="00263423"/>
    <w:rsid w:val="0026360F"/>
    <w:rsid w:val="0026377B"/>
    <w:rsid w:val="00263829"/>
    <w:rsid w:val="00263836"/>
    <w:rsid w:val="00263AA3"/>
    <w:rsid w:val="00263CA3"/>
    <w:rsid w:val="00263D6B"/>
    <w:rsid w:val="00264060"/>
    <w:rsid w:val="00264197"/>
    <w:rsid w:val="00264231"/>
    <w:rsid w:val="00264426"/>
    <w:rsid w:val="002645AB"/>
    <w:rsid w:val="00264D29"/>
    <w:rsid w:val="00264D80"/>
    <w:rsid w:val="00264F3C"/>
    <w:rsid w:val="00265284"/>
    <w:rsid w:val="002653A8"/>
    <w:rsid w:val="0026577C"/>
    <w:rsid w:val="0026595F"/>
    <w:rsid w:val="00265A79"/>
    <w:rsid w:val="00265ACD"/>
    <w:rsid w:val="00265E1F"/>
    <w:rsid w:val="00265EDE"/>
    <w:rsid w:val="00266053"/>
    <w:rsid w:val="00266459"/>
    <w:rsid w:val="002666C7"/>
    <w:rsid w:val="0026679A"/>
    <w:rsid w:val="00266DB0"/>
    <w:rsid w:val="00266DC5"/>
    <w:rsid w:val="00267313"/>
    <w:rsid w:val="002678CF"/>
    <w:rsid w:val="0026792C"/>
    <w:rsid w:val="00267AB1"/>
    <w:rsid w:val="00267D2D"/>
    <w:rsid w:val="00267F63"/>
    <w:rsid w:val="00270246"/>
    <w:rsid w:val="00270603"/>
    <w:rsid w:val="00270745"/>
    <w:rsid w:val="00270799"/>
    <w:rsid w:val="00270B75"/>
    <w:rsid w:val="00270B8A"/>
    <w:rsid w:val="00270EA0"/>
    <w:rsid w:val="00270FFF"/>
    <w:rsid w:val="00271309"/>
    <w:rsid w:val="002714CF"/>
    <w:rsid w:val="00271615"/>
    <w:rsid w:val="002716F7"/>
    <w:rsid w:val="00271A40"/>
    <w:rsid w:val="00271D95"/>
    <w:rsid w:val="00271E4F"/>
    <w:rsid w:val="00271FBB"/>
    <w:rsid w:val="00272126"/>
    <w:rsid w:val="002724B8"/>
    <w:rsid w:val="00273172"/>
    <w:rsid w:val="002735A0"/>
    <w:rsid w:val="00273869"/>
    <w:rsid w:val="00273ACE"/>
    <w:rsid w:val="00273C83"/>
    <w:rsid w:val="00273CBE"/>
    <w:rsid w:val="00273E44"/>
    <w:rsid w:val="002741C9"/>
    <w:rsid w:val="002749C9"/>
    <w:rsid w:val="00274D6E"/>
    <w:rsid w:val="00274D83"/>
    <w:rsid w:val="00275031"/>
    <w:rsid w:val="00275850"/>
    <w:rsid w:val="00275971"/>
    <w:rsid w:val="00275EBE"/>
    <w:rsid w:val="00275F09"/>
    <w:rsid w:val="00275F9F"/>
    <w:rsid w:val="00275FDE"/>
    <w:rsid w:val="0027609E"/>
    <w:rsid w:val="0027628F"/>
    <w:rsid w:val="00276442"/>
    <w:rsid w:val="00276548"/>
    <w:rsid w:val="002767A8"/>
    <w:rsid w:val="002769F7"/>
    <w:rsid w:val="00276C7A"/>
    <w:rsid w:val="00276E5E"/>
    <w:rsid w:val="0027781E"/>
    <w:rsid w:val="00277ADB"/>
    <w:rsid w:val="00277CFA"/>
    <w:rsid w:val="00277E2E"/>
    <w:rsid w:val="00277E4D"/>
    <w:rsid w:val="00277F1A"/>
    <w:rsid w:val="00280027"/>
    <w:rsid w:val="00280156"/>
    <w:rsid w:val="00280596"/>
    <w:rsid w:val="0028087E"/>
    <w:rsid w:val="00280922"/>
    <w:rsid w:val="00280986"/>
    <w:rsid w:val="00280A7B"/>
    <w:rsid w:val="00280A93"/>
    <w:rsid w:val="00280AD6"/>
    <w:rsid w:val="00280D70"/>
    <w:rsid w:val="00281103"/>
    <w:rsid w:val="0028168A"/>
    <w:rsid w:val="0028180A"/>
    <w:rsid w:val="00281CC2"/>
    <w:rsid w:val="0028200D"/>
    <w:rsid w:val="002820C6"/>
    <w:rsid w:val="0028236E"/>
    <w:rsid w:val="0028284F"/>
    <w:rsid w:val="002828DA"/>
    <w:rsid w:val="00282C5D"/>
    <w:rsid w:val="00282E56"/>
    <w:rsid w:val="0028308A"/>
    <w:rsid w:val="0028354F"/>
    <w:rsid w:val="002835BF"/>
    <w:rsid w:val="00283755"/>
    <w:rsid w:val="0028397D"/>
    <w:rsid w:val="00283A97"/>
    <w:rsid w:val="00283B5F"/>
    <w:rsid w:val="00283D3B"/>
    <w:rsid w:val="00283D6A"/>
    <w:rsid w:val="00284600"/>
    <w:rsid w:val="00284715"/>
    <w:rsid w:val="00284868"/>
    <w:rsid w:val="00284B84"/>
    <w:rsid w:val="00284D82"/>
    <w:rsid w:val="002852CB"/>
    <w:rsid w:val="00285430"/>
    <w:rsid w:val="0028544E"/>
    <w:rsid w:val="002854A6"/>
    <w:rsid w:val="002856F3"/>
    <w:rsid w:val="00285742"/>
    <w:rsid w:val="002857B9"/>
    <w:rsid w:val="00285842"/>
    <w:rsid w:val="00285BD4"/>
    <w:rsid w:val="00285DF5"/>
    <w:rsid w:val="00286053"/>
    <w:rsid w:val="002862EF"/>
    <w:rsid w:val="00286361"/>
    <w:rsid w:val="0028637E"/>
    <w:rsid w:val="00286517"/>
    <w:rsid w:val="002869C4"/>
    <w:rsid w:val="00286CB8"/>
    <w:rsid w:val="00286F65"/>
    <w:rsid w:val="002871D8"/>
    <w:rsid w:val="002871F9"/>
    <w:rsid w:val="0028745C"/>
    <w:rsid w:val="002875F5"/>
    <w:rsid w:val="002875F6"/>
    <w:rsid w:val="002878E9"/>
    <w:rsid w:val="00287A74"/>
    <w:rsid w:val="00287AAF"/>
    <w:rsid w:val="00287E46"/>
    <w:rsid w:val="00290121"/>
    <w:rsid w:val="00290631"/>
    <w:rsid w:val="00290684"/>
    <w:rsid w:val="0029071B"/>
    <w:rsid w:val="00290795"/>
    <w:rsid w:val="0029087B"/>
    <w:rsid w:val="00290A16"/>
    <w:rsid w:val="00290EB6"/>
    <w:rsid w:val="00290EB7"/>
    <w:rsid w:val="00290EED"/>
    <w:rsid w:val="002910D8"/>
    <w:rsid w:val="00291229"/>
    <w:rsid w:val="0029168E"/>
    <w:rsid w:val="00291A67"/>
    <w:rsid w:val="00291AFC"/>
    <w:rsid w:val="002920C7"/>
    <w:rsid w:val="0029228E"/>
    <w:rsid w:val="00292588"/>
    <w:rsid w:val="00292678"/>
    <w:rsid w:val="00292CD6"/>
    <w:rsid w:val="00292D3D"/>
    <w:rsid w:val="00292DF4"/>
    <w:rsid w:val="00292E78"/>
    <w:rsid w:val="00292F96"/>
    <w:rsid w:val="0029309E"/>
    <w:rsid w:val="0029316B"/>
    <w:rsid w:val="0029320A"/>
    <w:rsid w:val="002939EA"/>
    <w:rsid w:val="00293A74"/>
    <w:rsid w:val="00293B7F"/>
    <w:rsid w:val="00293CDD"/>
    <w:rsid w:val="00293E4D"/>
    <w:rsid w:val="00294097"/>
    <w:rsid w:val="0029412C"/>
    <w:rsid w:val="00294132"/>
    <w:rsid w:val="0029413B"/>
    <w:rsid w:val="002942AB"/>
    <w:rsid w:val="002942DC"/>
    <w:rsid w:val="0029445B"/>
    <w:rsid w:val="0029481E"/>
    <w:rsid w:val="0029535D"/>
    <w:rsid w:val="002954A6"/>
    <w:rsid w:val="0029574A"/>
    <w:rsid w:val="00295AE6"/>
    <w:rsid w:val="00295D10"/>
    <w:rsid w:val="00295DDC"/>
    <w:rsid w:val="00296124"/>
    <w:rsid w:val="00296718"/>
    <w:rsid w:val="002968B5"/>
    <w:rsid w:val="00297052"/>
    <w:rsid w:val="00297343"/>
    <w:rsid w:val="0029794A"/>
    <w:rsid w:val="00297A2B"/>
    <w:rsid w:val="00297A73"/>
    <w:rsid w:val="00297DB9"/>
    <w:rsid w:val="002A0166"/>
    <w:rsid w:val="002A0186"/>
    <w:rsid w:val="002A0297"/>
    <w:rsid w:val="002A0515"/>
    <w:rsid w:val="002A0534"/>
    <w:rsid w:val="002A0596"/>
    <w:rsid w:val="002A05D4"/>
    <w:rsid w:val="002A06B7"/>
    <w:rsid w:val="002A076B"/>
    <w:rsid w:val="002A0827"/>
    <w:rsid w:val="002A08FD"/>
    <w:rsid w:val="002A0939"/>
    <w:rsid w:val="002A09B4"/>
    <w:rsid w:val="002A0F27"/>
    <w:rsid w:val="002A0F8A"/>
    <w:rsid w:val="002A1055"/>
    <w:rsid w:val="002A12C9"/>
    <w:rsid w:val="002A13D3"/>
    <w:rsid w:val="002A1696"/>
    <w:rsid w:val="002A17B2"/>
    <w:rsid w:val="002A17C8"/>
    <w:rsid w:val="002A1C76"/>
    <w:rsid w:val="002A1CAA"/>
    <w:rsid w:val="002A20F2"/>
    <w:rsid w:val="002A21E4"/>
    <w:rsid w:val="002A23C8"/>
    <w:rsid w:val="002A24C1"/>
    <w:rsid w:val="002A2603"/>
    <w:rsid w:val="002A2774"/>
    <w:rsid w:val="002A27AA"/>
    <w:rsid w:val="002A2B75"/>
    <w:rsid w:val="002A2BC4"/>
    <w:rsid w:val="002A2C20"/>
    <w:rsid w:val="002A2C2C"/>
    <w:rsid w:val="002A2D60"/>
    <w:rsid w:val="002A2DCE"/>
    <w:rsid w:val="002A2EF2"/>
    <w:rsid w:val="002A2F93"/>
    <w:rsid w:val="002A302C"/>
    <w:rsid w:val="002A3181"/>
    <w:rsid w:val="002A322C"/>
    <w:rsid w:val="002A3449"/>
    <w:rsid w:val="002A3495"/>
    <w:rsid w:val="002A3657"/>
    <w:rsid w:val="002A3A15"/>
    <w:rsid w:val="002A3BD5"/>
    <w:rsid w:val="002A3E38"/>
    <w:rsid w:val="002A3EB2"/>
    <w:rsid w:val="002A3F7B"/>
    <w:rsid w:val="002A4996"/>
    <w:rsid w:val="002A4B45"/>
    <w:rsid w:val="002A4BC9"/>
    <w:rsid w:val="002A542C"/>
    <w:rsid w:val="002A5572"/>
    <w:rsid w:val="002A573E"/>
    <w:rsid w:val="002A5CE9"/>
    <w:rsid w:val="002A5F20"/>
    <w:rsid w:val="002A6165"/>
    <w:rsid w:val="002A65EA"/>
    <w:rsid w:val="002A6630"/>
    <w:rsid w:val="002A6B8C"/>
    <w:rsid w:val="002A6D76"/>
    <w:rsid w:val="002A70A6"/>
    <w:rsid w:val="002A72D6"/>
    <w:rsid w:val="002A75B6"/>
    <w:rsid w:val="002A7651"/>
    <w:rsid w:val="002A7980"/>
    <w:rsid w:val="002A7A9A"/>
    <w:rsid w:val="002A7B73"/>
    <w:rsid w:val="002A7C27"/>
    <w:rsid w:val="002A7C44"/>
    <w:rsid w:val="002A7D56"/>
    <w:rsid w:val="002A7DA3"/>
    <w:rsid w:val="002A7E2C"/>
    <w:rsid w:val="002B01B1"/>
    <w:rsid w:val="002B02AB"/>
    <w:rsid w:val="002B0414"/>
    <w:rsid w:val="002B0808"/>
    <w:rsid w:val="002B0D05"/>
    <w:rsid w:val="002B1209"/>
    <w:rsid w:val="002B1787"/>
    <w:rsid w:val="002B17FF"/>
    <w:rsid w:val="002B19E5"/>
    <w:rsid w:val="002B1D62"/>
    <w:rsid w:val="002B1E11"/>
    <w:rsid w:val="002B2182"/>
    <w:rsid w:val="002B21DB"/>
    <w:rsid w:val="002B2393"/>
    <w:rsid w:val="002B24AD"/>
    <w:rsid w:val="002B2604"/>
    <w:rsid w:val="002B2688"/>
    <w:rsid w:val="002B26DE"/>
    <w:rsid w:val="002B2847"/>
    <w:rsid w:val="002B2C98"/>
    <w:rsid w:val="002B2E6A"/>
    <w:rsid w:val="002B3269"/>
    <w:rsid w:val="002B33B0"/>
    <w:rsid w:val="002B34B0"/>
    <w:rsid w:val="002B35C6"/>
    <w:rsid w:val="002B367F"/>
    <w:rsid w:val="002B389E"/>
    <w:rsid w:val="002B38B5"/>
    <w:rsid w:val="002B3A9C"/>
    <w:rsid w:val="002B4598"/>
    <w:rsid w:val="002B4C0F"/>
    <w:rsid w:val="002B4C87"/>
    <w:rsid w:val="002B4EEE"/>
    <w:rsid w:val="002B5223"/>
    <w:rsid w:val="002B53B5"/>
    <w:rsid w:val="002B54DE"/>
    <w:rsid w:val="002B558B"/>
    <w:rsid w:val="002B5965"/>
    <w:rsid w:val="002B654A"/>
    <w:rsid w:val="002B66D6"/>
    <w:rsid w:val="002B6BE4"/>
    <w:rsid w:val="002B6DB1"/>
    <w:rsid w:val="002B6E22"/>
    <w:rsid w:val="002B712F"/>
    <w:rsid w:val="002B76F5"/>
    <w:rsid w:val="002B77CF"/>
    <w:rsid w:val="002B78B5"/>
    <w:rsid w:val="002B78F2"/>
    <w:rsid w:val="002B7A7C"/>
    <w:rsid w:val="002B7C2B"/>
    <w:rsid w:val="002B7C39"/>
    <w:rsid w:val="002B7CFA"/>
    <w:rsid w:val="002B7D61"/>
    <w:rsid w:val="002B7E01"/>
    <w:rsid w:val="002B7E85"/>
    <w:rsid w:val="002B7F9D"/>
    <w:rsid w:val="002C0478"/>
    <w:rsid w:val="002C0551"/>
    <w:rsid w:val="002C07B1"/>
    <w:rsid w:val="002C0813"/>
    <w:rsid w:val="002C0823"/>
    <w:rsid w:val="002C0BA0"/>
    <w:rsid w:val="002C0C78"/>
    <w:rsid w:val="002C184D"/>
    <w:rsid w:val="002C19A5"/>
    <w:rsid w:val="002C1D02"/>
    <w:rsid w:val="002C1E90"/>
    <w:rsid w:val="002C1ECD"/>
    <w:rsid w:val="002C1F14"/>
    <w:rsid w:val="002C22A3"/>
    <w:rsid w:val="002C230D"/>
    <w:rsid w:val="002C238F"/>
    <w:rsid w:val="002C2993"/>
    <w:rsid w:val="002C2A39"/>
    <w:rsid w:val="002C2B95"/>
    <w:rsid w:val="002C2C5F"/>
    <w:rsid w:val="002C2F95"/>
    <w:rsid w:val="002C31E5"/>
    <w:rsid w:val="002C384E"/>
    <w:rsid w:val="002C385B"/>
    <w:rsid w:val="002C3A5C"/>
    <w:rsid w:val="002C3A6B"/>
    <w:rsid w:val="002C3BD4"/>
    <w:rsid w:val="002C3C76"/>
    <w:rsid w:val="002C3CAD"/>
    <w:rsid w:val="002C3D5F"/>
    <w:rsid w:val="002C3E2D"/>
    <w:rsid w:val="002C3E3D"/>
    <w:rsid w:val="002C41A3"/>
    <w:rsid w:val="002C41AF"/>
    <w:rsid w:val="002C41C0"/>
    <w:rsid w:val="002C41DA"/>
    <w:rsid w:val="002C44EF"/>
    <w:rsid w:val="002C4686"/>
    <w:rsid w:val="002C46FB"/>
    <w:rsid w:val="002C4A23"/>
    <w:rsid w:val="002C4ADF"/>
    <w:rsid w:val="002C4B76"/>
    <w:rsid w:val="002C4BA0"/>
    <w:rsid w:val="002C4BB9"/>
    <w:rsid w:val="002C4C43"/>
    <w:rsid w:val="002C4F66"/>
    <w:rsid w:val="002C52C9"/>
    <w:rsid w:val="002C54D3"/>
    <w:rsid w:val="002C54FE"/>
    <w:rsid w:val="002C575F"/>
    <w:rsid w:val="002C5C34"/>
    <w:rsid w:val="002C5E19"/>
    <w:rsid w:val="002C5E9D"/>
    <w:rsid w:val="002C5FEA"/>
    <w:rsid w:val="002C6008"/>
    <w:rsid w:val="002C60CD"/>
    <w:rsid w:val="002C61A2"/>
    <w:rsid w:val="002C62F1"/>
    <w:rsid w:val="002C66DA"/>
    <w:rsid w:val="002C6A7A"/>
    <w:rsid w:val="002C6F12"/>
    <w:rsid w:val="002C7343"/>
    <w:rsid w:val="002C73BA"/>
    <w:rsid w:val="002C7609"/>
    <w:rsid w:val="002C77A4"/>
    <w:rsid w:val="002C7817"/>
    <w:rsid w:val="002C7854"/>
    <w:rsid w:val="002C7A13"/>
    <w:rsid w:val="002C7BAE"/>
    <w:rsid w:val="002C7D22"/>
    <w:rsid w:val="002C7D75"/>
    <w:rsid w:val="002D04B0"/>
    <w:rsid w:val="002D070E"/>
    <w:rsid w:val="002D0990"/>
    <w:rsid w:val="002D0AD5"/>
    <w:rsid w:val="002D0CE1"/>
    <w:rsid w:val="002D0DE3"/>
    <w:rsid w:val="002D0DF4"/>
    <w:rsid w:val="002D0E6C"/>
    <w:rsid w:val="002D1376"/>
    <w:rsid w:val="002D141D"/>
    <w:rsid w:val="002D148C"/>
    <w:rsid w:val="002D15D4"/>
    <w:rsid w:val="002D1A74"/>
    <w:rsid w:val="002D1BCB"/>
    <w:rsid w:val="002D2009"/>
    <w:rsid w:val="002D21D6"/>
    <w:rsid w:val="002D227A"/>
    <w:rsid w:val="002D2431"/>
    <w:rsid w:val="002D28D3"/>
    <w:rsid w:val="002D2A0E"/>
    <w:rsid w:val="002D2AB8"/>
    <w:rsid w:val="002D2C17"/>
    <w:rsid w:val="002D2FEE"/>
    <w:rsid w:val="002D3563"/>
    <w:rsid w:val="002D44CC"/>
    <w:rsid w:val="002D47EB"/>
    <w:rsid w:val="002D4844"/>
    <w:rsid w:val="002D490F"/>
    <w:rsid w:val="002D4F58"/>
    <w:rsid w:val="002D4FBD"/>
    <w:rsid w:val="002D57FA"/>
    <w:rsid w:val="002D5FCC"/>
    <w:rsid w:val="002D634F"/>
    <w:rsid w:val="002D643A"/>
    <w:rsid w:val="002D6742"/>
    <w:rsid w:val="002D6748"/>
    <w:rsid w:val="002D6A5F"/>
    <w:rsid w:val="002D6F70"/>
    <w:rsid w:val="002D71EA"/>
    <w:rsid w:val="002D74D6"/>
    <w:rsid w:val="002D7655"/>
    <w:rsid w:val="002D76CE"/>
    <w:rsid w:val="002D77B4"/>
    <w:rsid w:val="002D7AA9"/>
    <w:rsid w:val="002D7BAE"/>
    <w:rsid w:val="002D7C78"/>
    <w:rsid w:val="002D7FED"/>
    <w:rsid w:val="002E05DF"/>
    <w:rsid w:val="002E06D6"/>
    <w:rsid w:val="002E0733"/>
    <w:rsid w:val="002E0ABA"/>
    <w:rsid w:val="002E0B70"/>
    <w:rsid w:val="002E0BD5"/>
    <w:rsid w:val="002E10EA"/>
    <w:rsid w:val="002E11EE"/>
    <w:rsid w:val="002E128A"/>
    <w:rsid w:val="002E15AA"/>
    <w:rsid w:val="002E18FC"/>
    <w:rsid w:val="002E191A"/>
    <w:rsid w:val="002E1988"/>
    <w:rsid w:val="002E1BB8"/>
    <w:rsid w:val="002E1E43"/>
    <w:rsid w:val="002E221E"/>
    <w:rsid w:val="002E22D8"/>
    <w:rsid w:val="002E27AD"/>
    <w:rsid w:val="002E298C"/>
    <w:rsid w:val="002E2B86"/>
    <w:rsid w:val="002E2CA6"/>
    <w:rsid w:val="002E2D10"/>
    <w:rsid w:val="002E2EF6"/>
    <w:rsid w:val="002E3065"/>
    <w:rsid w:val="002E36F7"/>
    <w:rsid w:val="002E37FC"/>
    <w:rsid w:val="002E3B47"/>
    <w:rsid w:val="002E3B4A"/>
    <w:rsid w:val="002E3D95"/>
    <w:rsid w:val="002E4186"/>
    <w:rsid w:val="002E4266"/>
    <w:rsid w:val="002E429F"/>
    <w:rsid w:val="002E42E2"/>
    <w:rsid w:val="002E432E"/>
    <w:rsid w:val="002E4435"/>
    <w:rsid w:val="002E4529"/>
    <w:rsid w:val="002E4FD0"/>
    <w:rsid w:val="002E561B"/>
    <w:rsid w:val="002E5940"/>
    <w:rsid w:val="002E5A34"/>
    <w:rsid w:val="002E5B8A"/>
    <w:rsid w:val="002E5C5F"/>
    <w:rsid w:val="002E5D72"/>
    <w:rsid w:val="002E5D83"/>
    <w:rsid w:val="002E5D8D"/>
    <w:rsid w:val="002E614F"/>
    <w:rsid w:val="002E6664"/>
    <w:rsid w:val="002E670E"/>
    <w:rsid w:val="002E68D2"/>
    <w:rsid w:val="002E6C1A"/>
    <w:rsid w:val="002E6CDB"/>
    <w:rsid w:val="002E7709"/>
    <w:rsid w:val="002E7810"/>
    <w:rsid w:val="002E78C2"/>
    <w:rsid w:val="002E7DC2"/>
    <w:rsid w:val="002F00A8"/>
    <w:rsid w:val="002F0177"/>
    <w:rsid w:val="002F03EC"/>
    <w:rsid w:val="002F0428"/>
    <w:rsid w:val="002F09C2"/>
    <w:rsid w:val="002F0A69"/>
    <w:rsid w:val="002F0B8A"/>
    <w:rsid w:val="002F0E02"/>
    <w:rsid w:val="002F0E3A"/>
    <w:rsid w:val="002F11BA"/>
    <w:rsid w:val="002F1A7E"/>
    <w:rsid w:val="002F1B17"/>
    <w:rsid w:val="002F1CD0"/>
    <w:rsid w:val="002F20B7"/>
    <w:rsid w:val="002F22F6"/>
    <w:rsid w:val="002F2625"/>
    <w:rsid w:val="002F2798"/>
    <w:rsid w:val="002F296D"/>
    <w:rsid w:val="002F2E72"/>
    <w:rsid w:val="002F315F"/>
    <w:rsid w:val="002F32F8"/>
    <w:rsid w:val="002F39F4"/>
    <w:rsid w:val="002F3AEB"/>
    <w:rsid w:val="002F3CEB"/>
    <w:rsid w:val="002F3D1E"/>
    <w:rsid w:val="002F3ED8"/>
    <w:rsid w:val="002F41AC"/>
    <w:rsid w:val="002F43DD"/>
    <w:rsid w:val="002F4A6F"/>
    <w:rsid w:val="002F4C98"/>
    <w:rsid w:val="002F519E"/>
    <w:rsid w:val="002F5416"/>
    <w:rsid w:val="002F5B7F"/>
    <w:rsid w:val="002F5FF9"/>
    <w:rsid w:val="002F6017"/>
    <w:rsid w:val="002F624E"/>
    <w:rsid w:val="002F62D2"/>
    <w:rsid w:val="002F6497"/>
    <w:rsid w:val="002F64AF"/>
    <w:rsid w:val="002F6908"/>
    <w:rsid w:val="002F69D1"/>
    <w:rsid w:val="002F6B85"/>
    <w:rsid w:val="002F6BF1"/>
    <w:rsid w:val="002F6EBD"/>
    <w:rsid w:val="002F71E9"/>
    <w:rsid w:val="002F742D"/>
    <w:rsid w:val="002F78F0"/>
    <w:rsid w:val="002F7B22"/>
    <w:rsid w:val="0030041B"/>
    <w:rsid w:val="00300ADF"/>
    <w:rsid w:val="00300BBC"/>
    <w:rsid w:val="00300E25"/>
    <w:rsid w:val="00300E8F"/>
    <w:rsid w:val="0030163D"/>
    <w:rsid w:val="00301700"/>
    <w:rsid w:val="003018EE"/>
    <w:rsid w:val="00301D64"/>
    <w:rsid w:val="00301E02"/>
    <w:rsid w:val="00301F2B"/>
    <w:rsid w:val="0030209E"/>
    <w:rsid w:val="00302417"/>
    <w:rsid w:val="00302578"/>
    <w:rsid w:val="00302797"/>
    <w:rsid w:val="00302847"/>
    <w:rsid w:val="00302853"/>
    <w:rsid w:val="00302A55"/>
    <w:rsid w:val="00302AB3"/>
    <w:rsid w:val="0030300D"/>
    <w:rsid w:val="00303050"/>
    <w:rsid w:val="00303098"/>
    <w:rsid w:val="003031FB"/>
    <w:rsid w:val="00303711"/>
    <w:rsid w:val="00303987"/>
    <w:rsid w:val="00303AC4"/>
    <w:rsid w:val="00303D42"/>
    <w:rsid w:val="00303DDC"/>
    <w:rsid w:val="00304200"/>
    <w:rsid w:val="00304598"/>
    <w:rsid w:val="003045A6"/>
    <w:rsid w:val="0030468A"/>
    <w:rsid w:val="00304859"/>
    <w:rsid w:val="003048AB"/>
    <w:rsid w:val="00304D7A"/>
    <w:rsid w:val="00304E3F"/>
    <w:rsid w:val="003052B5"/>
    <w:rsid w:val="0030533C"/>
    <w:rsid w:val="00305534"/>
    <w:rsid w:val="0030558E"/>
    <w:rsid w:val="003055F8"/>
    <w:rsid w:val="00305642"/>
    <w:rsid w:val="003059E5"/>
    <w:rsid w:val="00305CC8"/>
    <w:rsid w:val="00305D37"/>
    <w:rsid w:val="0030603E"/>
    <w:rsid w:val="00306196"/>
    <w:rsid w:val="003065EB"/>
    <w:rsid w:val="003066BB"/>
    <w:rsid w:val="0030693F"/>
    <w:rsid w:val="00306A35"/>
    <w:rsid w:val="003071C4"/>
    <w:rsid w:val="00307265"/>
    <w:rsid w:val="00307750"/>
    <w:rsid w:val="00307C19"/>
    <w:rsid w:val="00307E41"/>
    <w:rsid w:val="003101D0"/>
    <w:rsid w:val="003103BB"/>
    <w:rsid w:val="003103E1"/>
    <w:rsid w:val="00310421"/>
    <w:rsid w:val="00310558"/>
    <w:rsid w:val="0031164E"/>
    <w:rsid w:val="003119C5"/>
    <w:rsid w:val="00311E05"/>
    <w:rsid w:val="00312227"/>
    <w:rsid w:val="0031242B"/>
    <w:rsid w:val="00312602"/>
    <w:rsid w:val="003126C8"/>
    <w:rsid w:val="00312A3B"/>
    <w:rsid w:val="00312A8C"/>
    <w:rsid w:val="00312ECC"/>
    <w:rsid w:val="00312FD0"/>
    <w:rsid w:val="00313216"/>
    <w:rsid w:val="003132E0"/>
    <w:rsid w:val="003138BC"/>
    <w:rsid w:val="003139F7"/>
    <w:rsid w:val="00313A12"/>
    <w:rsid w:val="00313E10"/>
    <w:rsid w:val="00313EDF"/>
    <w:rsid w:val="0031408D"/>
    <w:rsid w:val="0031411E"/>
    <w:rsid w:val="003142C3"/>
    <w:rsid w:val="00314793"/>
    <w:rsid w:val="003147A2"/>
    <w:rsid w:val="003147F0"/>
    <w:rsid w:val="003149A8"/>
    <w:rsid w:val="00314ACE"/>
    <w:rsid w:val="00314AD7"/>
    <w:rsid w:val="00314C21"/>
    <w:rsid w:val="00314D83"/>
    <w:rsid w:val="00314D99"/>
    <w:rsid w:val="00314FDB"/>
    <w:rsid w:val="0031518B"/>
    <w:rsid w:val="003156D7"/>
    <w:rsid w:val="003156DB"/>
    <w:rsid w:val="00315A2E"/>
    <w:rsid w:val="00315EA1"/>
    <w:rsid w:val="00316033"/>
    <w:rsid w:val="00316119"/>
    <w:rsid w:val="00316420"/>
    <w:rsid w:val="00316916"/>
    <w:rsid w:val="00316B55"/>
    <w:rsid w:val="00316B5E"/>
    <w:rsid w:val="00317015"/>
    <w:rsid w:val="0031736B"/>
    <w:rsid w:val="003173A6"/>
    <w:rsid w:val="003176E8"/>
    <w:rsid w:val="003178AC"/>
    <w:rsid w:val="00317990"/>
    <w:rsid w:val="0032056B"/>
    <w:rsid w:val="003207FE"/>
    <w:rsid w:val="00320809"/>
    <w:rsid w:val="00320ABD"/>
    <w:rsid w:val="00320B87"/>
    <w:rsid w:val="00320CD2"/>
    <w:rsid w:val="00320D5C"/>
    <w:rsid w:val="003210FE"/>
    <w:rsid w:val="00321523"/>
    <w:rsid w:val="003215EC"/>
    <w:rsid w:val="00321620"/>
    <w:rsid w:val="003218B7"/>
    <w:rsid w:val="00321A88"/>
    <w:rsid w:val="00321B05"/>
    <w:rsid w:val="00321B17"/>
    <w:rsid w:val="00321B84"/>
    <w:rsid w:val="00321E96"/>
    <w:rsid w:val="003222E4"/>
    <w:rsid w:val="0032244A"/>
    <w:rsid w:val="00322866"/>
    <w:rsid w:val="00322997"/>
    <w:rsid w:val="003229EF"/>
    <w:rsid w:val="00322C58"/>
    <w:rsid w:val="0032321A"/>
    <w:rsid w:val="003232D4"/>
    <w:rsid w:val="0032360A"/>
    <w:rsid w:val="0032367E"/>
    <w:rsid w:val="00323942"/>
    <w:rsid w:val="0032394F"/>
    <w:rsid w:val="0032395B"/>
    <w:rsid w:val="00323D6F"/>
    <w:rsid w:val="00323DCD"/>
    <w:rsid w:val="00323ECC"/>
    <w:rsid w:val="0032415F"/>
    <w:rsid w:val="003242A0"/>
    <w:rsid w:val="003243A2"/>
    <w:rsid w:val="00324509"/>
    <w:rsid w:val="003245D1"/>
    <w:rsid w:val="003246B5"/>
    <w:rsid w:val="0032494F"/>
    <w:rsid w:val="0032499F"/>
    <w:rsid w:val="00324C94"/>
    <w:rsid w:val="00324FE2"/>
    <w:rsid w:val="00325476"/>
    <w:rsid w:val="003254AD"/>
    <w:rsid w:val="00325668"/>
    <w:rsid w:val="0032586C"/>
    <w:rsid w:val="00325A9E"/>
    <w:rsid w:val="00325D4A"/>
    <w:rsid w:val="00325E78"/>
    <w:rsid w:val="0032600C"/>
    <w:rsid w:val="00326102"/>
    <w:rsid w:val="0032623A"/>
    <w:rsid w:val="00326A44"/>
    <w:rsid w:val="00326E52"/>
    <w:rsid w:val="00326F40"/>
    <w:rsid w:val="0032717D"/>
    <w:rsid w:val="003271C8"/>
    <w:rsid w:val="003276E1"/>
    <w:rsid w:val="0032796C"/>
    <w:rsid w:val="00327A88"/>
    <w:rsid w:val="003302E3"/>
    <w:rsid w:val="003303BB"/>
    <w:rsid w:val="003303C5"/>
    <w:rsid w:val="003307B6"/>
    <w:rsid w:val="00330A9B"/>
    <w:rsid w:val="00330AEC"/>
    <w:rsid w:val="00330CD9"/>
    <w:rsid w:val="00330D6E"/>
    <w:rsid w:val="00330F0E"/>
    <w:rsid w:val="00331344"/>
    <w:rsid w:val="003313D3"/>
    <w:rsid w:val="00331491"/>
    <w:rsid w:val="003315A8"/>
    <w:rsid w:val="003317BB"/>
    <w:rsid w:val="00331E7F"/>
    <w:rsid w:val="00332327"/>
    <w:rsid w:val="003323AD"/>
    <w:rsid w:val="0033241F"/>
    <w:rsid w:val="0033258B"/>
    <w:rsid w:val="00332693"/>
    <w:rsid w:val="00332B59"/>
    <w:rsid w:val="00332CF7"/>
    <w:rsid w:val="0033303C"/>
    <w:rsid w:val="0033311A"/>
    <w:rsid w:val="003332B5"/>
    <w:rsid w:val="00333384"/>
    <w:rsid w:val="0033353A"/>
    <w:rsid w:val="00333770"/>
    <w:rsid w:val="003339DF"/>
    <w:rsid w:val="00334289"/>
    <w:rsid w:val="00334310"/>
    <w:rsid w:val="0033435B"/>
    <w:rsid w:val="00334582"/>
    <w:rsid w:val="00334806"/>
    <w:rsid w:val="00334A4C"/>
    <w:rsid w:val="00334B79"/>
    <w:rsid w:val="00334BFC"/>
    <w:rsid w:val="00334CC4"/>
    <w:rsid w:val="00335B51"/>
    <w:rsid w:val="00335DDF"/>
    <w:rsid w:val="00335E12"/>
    <w:rsid w:val="003362D2"/>
    <w:rsid w:val="003363E1"/>
    <w:rsid w:val="00336485"/>
    <w:rsid w:val="003364B9"/>
    <w:rsid w:val="00336522"/>
    <w:rsid w:val="0033674D"/>
    <w:rsid w:val="00336805"/>
    <w:rsid w:val="0033695A"/>
    <w:rsid w:val="00336A2C"/>
    <w:rsid w:val="00336B50"/>
    <w:rsid w:val="0033708B"/>
    <w:rsid w:val="0033708F"/>
    <w:rsid w:val="003376B7"/>
    <w:rsid w:val="00337C77"/>
    <w:rsid w:val="00337F3C"/>
    <w:rsid w:val="0034008E"/>
    <w:rsid w:val="003402AF"/>
    <w:rsid w:val="00340833"/>
    <w:rsid w:val="003409CC"/>
    <w:rsid w:val="003413ED"/>
    <w:rsid w:val="00341433"/>
    <w:rsid w:val="0034170E"/>
    <w:rsid w:val="0034194F"/>
    <w:rsid w:val="00341BEA"/>
    <w:rsid w:val="00341C0E"/>
    <w:rsid w:val="00341F37"/>
    <w:rsid w:val="0034232A"/>
    <w:rsid w:val="0034269E"/>
    <w:rsid w:val="003429CF"/>
    <w:rsid w:val="00342C64"/>
    <w:rsid w:val="00342FF4"/>
    <w:rsid w:val="003430C7"/>
    <w:rsid w:val="0034314E"/>
    <w:rsid w:val="0034333D"/>
    <w:rsid w:val="0034338F"/>
    <w:rsid w:val="00343403"/>
    <w:rsid w:val="00343827"/>
    <w:rsid w:val="00343BCE"/>
    <w:rsid w:val="003440DB"/>
    <w:rsid w:val="0034429C"/>
    <w:rsid w:val="00344413"/>
    <w:rsid w:val="00344529"/>
    <w:rsid w:val="00344832"/>
    <w:rsid w:val="00344843"/>
    <w:rsid w:val="0034490F"/>
    <w:rsid w:val="00344B18"/>
    <w:rsid w:val="00344DD7"/>
    <w:rsid w:val="0034526C"/>
    <w:rsid w:val="00345477"/>
    <w:rsid w:val="00345498"/>
    <w:rsid w:val="00345582"/>
    <w:rsid w:val="003455C6"/>
    <w:rsid w:val="00345687"/>
    <w:rsid w:val="00345C4F"/>
    <w:rsid w:val="00345EAA"/>
    <w:rsid w:val="00345FBD"/>
    <w:rsid w:val="0034624B"/>
    <w:rsid w:val="003462EE"/>
    <w:rsid w:val="003469B5"/>
    <w:rsid w:val="00346E7B"/>
    <w:rsid w:val="00346FCF"/>
    <w:rsid w:val="0034732A"/>
    <w:rsid w:val="00347572"/>
    <w:rsid w:val="0034774A"/>
    <w:rsid w:val="00347878"/>
    <w:rsid w:val="00347885"/>
    <w:rsid w:val="00347B4A"/>
    <w:rsid w:val="00347B6D"/>
    <w:rsid w:val="00347B7A"/>
    <w:rsid w:val="00347C0E"/>
    <w:rsid w:val="00347E51"/>
    <w:rsid w:val="00347F22"/>
    <w:rsid w:val="00350318"/>
    <w:rsid w:val="00350697"/>
    <w:rsid w:val="003507E6"/>
    <w:rsid w:val="003507FA"/>
    <w:rsid w:val="003509C7"/>
    <w:rsid w:val="00350B32"/>
    <w:rsid w:val="00350CD9"/>
    <w:rsid w:val="00350E2C"/>
    <w:rsid w:val="00350F0B"/>
    <w:rsid w:val="00350F39"/>
    <w:rsid w:val="00351047"/>
    <w:rsid w:val="0035157F"/>
    <w:rsid w:val="0035178E"/>
    <w:rsid w:val="003518AA"/>
    <w:rsid w:val="003518E9"/>
    <w:rsid w:val="00351936"/>
    <w:rsid w:val="00351A60"/>
    <w:rsid w:val="00351AF7"/>
    <w:rsid w:val="003521E6"/>
    <w:rsid w:val="0035280A"/>
    <w:rsid w:val="00352C60"/>
    <w:rsid w:val="00352D18"/>
    <w:rsid w:val="00352DFB"/>
    <w:rsid w:val="00352FA1"/>
    <w:rsid w:val="0035321B"/>
    <w:rsid w:val="00353263"/>
    <w:rsid w:val="003537E8"/>
    <w:rsid w:val="003537FF"/>
    <w:rsid w:val="003539A3"/>
    <w:rsid w:val="00353A58"/>
    <w:rsid w:val="00353D3D"/>
    <w:rsid w:val="003546CF"/>
    <w:rsid w:val="00354A94"/>
    <w:rsid w:val="00354AD1"/>
    <w:rsid w:val="00354E6A"/>
    <w:rsid w:val="003550CC"/>
    <w:rsid w:val="0035531D"/>
    <w:rsid w:val="00355359"/>
    <w:rsid w:val="00355368"/>
    <w:rsid w:val="00355385"/>
    <w:rsid w:val="0035549A"/>
    <w:rsid w:val="003556B5"/>
    <w:rsid w:val="00355B94"/>
    <w:rsid w:val="00356082"/>
    <w:rsid w:val="00356125"/>
    <w:rsid w:val="0035619F"/>
    <w:rsid w:val="00356425"/>
    <w:rsid w:val="003565EF"/>
    <w:rsid w:val="00356B25"/>
    <w:rsid w:val="00356CF3"/>
    <w:rsid w:val="00356E82"/>
    <w:rsid w:val="00357014"/>
    <w:rsid w:val="003571E1"/>
    <w:rsid w:val="00357371"/>
    <w:rsid w:val="003573B7"/>
    <w:rsid w:val="00357574"/>
    <w:rsid w:val="0035759E"/>
    <w:rsid w:val="00357A1A"/>
    <w:rsid w:val="00357B0B"/>
    <w:rsid w:val="00357F00"/>
    <w:rsid w:val="003600D2"/>
    <w:rsid w:val="003601AE"/>
    <w:rsid w:val="003601FC"/>
    <w:rsid w:val="00360252"/>
    <w:rsid w:val="00360613"/>
    <w:rsid w:val="003608A3"/>
    <w:rsid w:val="003608B1"/>
    <w:rsid w:val="00360949"/>
    <w:rsid w:val="00360A97"/>
    <w:rsid w:val="00360AA5"/>
    <w:rsid w:val="00360C10"/>
    <w:rsid w:val="00360FD2"/>
    <w:rsid w:val="0036137D"/>
    <w:rsid w:val="00361754"/>
    <w:rsid w:val="003618B7"/>
    <w:rsid w:val="00361A4C"/>
    <w:rsid w:val="00361D6B"/>
    <w:rsid w:val="003622A4"/>
    <w:rsid w:val="003622E8"/>
    <w:rsid w:val="00362509"/>
    <w:rsid w:val="003626D0"/>
    <w:rsid w:val="003627D9"/>
    <w:rsid w:val="00362822"/>
    <w:rsid w:val="00362B7C"/>
    <w:rsid w:val="00362C94"/>
    <w:rsid w:val="003630C6"/>
    <w:rsid w:val="003630FC"/>
    <w:rsid w:val="0036326D"/>
    <w:rsid w:val="003632FF"/>
    <w:rsid w:val="0036338A"/>
    <w:rsid w:val="00363846"/>
    <w:rsid w:val="00363B26"/>
    <w:rsid w:val="00363BCF"/>
    <w:rsid w:val="00363C1E"/>
    <w:rsid w:val="00363FAD"/>
    <w:rsid w:val="0036408E"/>
    <w:rsid w:val="003640DE"/>
    <w:rsid w:val="003641B7"/>
    <w:rsid w:val="003646A9"/>
    <w:rsid w:val="00364921"/>
    <w:rsid w:val="003649CF"/>
    <w:rsid w:val="00364C2C"/>
    <w:rsid w:val="003652EE"/>
    <w:rsid w:val="00365332"/>
    <w:rsid w:val="003658BB"/>
    <w:rsid w:val="00365A3D"/>
    <w:rsid w:val="00365AD5"/>
    <w:rsid w:val="00365BE6"/>
    <w:rsid w:val="00365C1F"/>
    <w:rsid w:val="0036610C"/>
    <w:rsid w:val="00366B60"/>
    <w:rsid w:val="00366F96"/>
    <w:rsid w:val="00366FFB"/>
    <w:rsid w:val="0036729B"/>
    <w:rsid w:val="003673C5"/>
    <w:rsid w:val="00367A3B"/>
    <w:rsid w:val="00367C12"/>
    <w:rsid w:val="00367EB9"/>
    <w:rsid w:val="00370052"/>
    <w:rsid w:val="003704A1"/>
    <w:rsid w:val="00370C16"/>
    <w:rsid w:val="003710B4"/>
    <w:rsid w:val="00371423"/>
    <w:rsid w:val="003715B9"/>
    <w:rsid w:val="003715DA"/>
    <w:rsid w:val="0037163F"/>
    <w:rsid w:val="00371904"/>
    <w:rsid w:val="003721A5"/>
    <w:rsid w:val="0037268A"/>
    <w:rsid w:val="003726B9"/>
    <w:rsid w:val="003727F6"/>
    <w:rsid w:val="00372B02"/>
    <w:rsid w:val="00372D29"/>
    <w:rsid w:val="00372DBF"/>
    <w:rsid w:val="0037318C"/>
    <w:rsid w:val="00373300"/>
    <w:rsid w:val="003733F4"/>
    <w:rsid w:val="003738DD"/>
    <w:rsid w:val="00373C5A"/>
    <w:rsid w:val="00373E0C"/>
    <w:rsid w:val="00373E7B"/>
    <w:rsid w:val="00373EE5"/>
    <w:rsid w:val="00373EEC"/>
    <w:rsid w:val="00374077"/>
    <w:rsid w:val="003742AC"/>
    <w:rsid w:val="003742FA"/>
    <w:rsid w:val="003744B7"/>
    <w:rsid w:val="003745A4"/>
    <w:rsid w:val="003745B2"/>
    <w:rsid w:val="003751F6"/>
    <w:rsid w:val="00375261"/>
    <w:rsid w:val="003757F9"/>
    <w:rsid w:val="0037592D"/>
    <w:rsid w:val="00375A70"/>
    <w:rsid w:val="00375E47"/>
    <w:rsid w:val="00375EC0"/>
    <w:rsid w:val="00375F08"/>
    <w:rsid w:val="00375F6C"/>
    <w:rsid w:val="00376015"/>
    <w:rsid w:val="003763EA"/>
    <w:rsid w:val="00376651"/>
    <w:rsid w:val="00376CBD"/>
    <w:rsid w:val="00376EDF"/>
    <w:rsid w:val="00377045"/>
    <w:rsid w:val="003772F4"/>
    <w:rsid w:val="003774EB"/>
    <w:rsid w:val="0037768B"/>
    <w:rsid w:val="003776BE"/>
    <w:rsid w:val="00377874"/>
    <w:rsid w:val="0037798B"/>
    <w:rsid w:val="00377AE1"/>
    <w:rsid w:val="00377E2A"/>
    <w:rsid w:val="0038017F"/>
    <w:rsid w:val="00380237"/>
    <w:rsid w:val="003805E6"/>
    <w:rsid w:val="003808C6"/>
    <w:rsid w:val="00380D93"/>
    <w:rsid w:val="0038116D"/>
    <w:rsid w:val="0038118A"/>
    <w:rsid w:val="003811BB"/>
    <w:rsid w:val="00381357"/>
    <w:rsid w:val="003816A1"/>
    <w:rsid w:val="003817D4"/>
    <w:rsid w:val="0038206D"/>
    <w:rsid w:val="0038212D"/>
    <w:rsid w:val="003823A8"/>
    <w:rsid w:val="003823DE"/>
    <w:rsid w:val="003827BE"/>
    <w:rsid w:val="00382834"/>
    <w:rsid w:val="00382A7A"/>
    <w:rsid w:val="0038325D"/>
    <w:rsid w:val="00383452"/>
    <w:rsid w:val="0038352F"/>
    <w:rsid w:val="0038364F"/>
    <w:rsid w:val="00383808"/>
    <w:rsid w:val="00383894"/>
    <w:rsid w:val="003838C2"/>
    <w:rsid w:val="00383C17"/>
    <w:rsid w:val="00383EC4"/>
    <w:rsid w:val="00384055"/>
    <w:rsid w:val="00384198"/>
    <w:rsid w:val="00384265"/>
    <w:rsid w:val="0038426A"/>
    <w:rsid w:val="00384433"/>
    <w:rsid w:val="00384B63"/>
    <w:rsid w:val="00384F3A"/>
    <w:rsid w:val="003852EF"/>
    <w:rsid w:val="003853CD"/>
    <w:rsid w:val="00385411"/>
    <w:rsid w:val="003854D5"/>
    <w:rsid w:val="0038568C"/>
    <w:rsid w:val="003856EE"/>
    <w:rsid w:val="0038578C"/>
    <w:rsid w:val="0038587E"/>
    <w:rsid w:val="003859DD"/>
    <w:rsid w:val="00385B18"/>
    <w:rsid w:val="00385D07"/>
    <w:rsid w:val="0038641D"/>
    <w:rsid w:val="00386551"/>
    <w:rsid w:val="0038675E"/>
    <w:rsid w:val="00386AB2"/>
    <w:rsid w:val="00386E9A"/>
    <w:rsid w:val="00386EAF"/>
    <w:rsid w:val="0038709C"/>
    <w:rsid w:val="003870EB"/>
    <w:rsid w:val="003872B8"/>
    <w:rsid w:val="0038738D"/>
    <w:rsid w:val="003877FD"/>
    <w:rsid w:val="0038782C"/>
    <w:rsid w:val="00387A2A"/>
    <w:rsid w:val="003903F3"/>
    <w:rsid w:val="00390430"/>
    <w:rsid w:val="003905A1"/>
    <w:rsid w:val="003905F5"/>
    <w:rsid w:val="00390841"/>
    <w:rsid w:val="003908C3"/>
    <w:rsid w:val="0039113B"/>
    <w:rsid w:val="003911E0"/>
    <w:rsid w:val="0039131B"/>
    <w:rsid w:val="003913D2"/>
    <w:rsid w:val="00391655"/>
    <w:rsid w:val="003916CB"/>
    <w:rsid w:val="00391ABB"/>
    <w:rsid w:val="00391C1B"/>
    <w:rsid w:val="00391C75"/>
    <w:rsid w:val="00391C79"/>
    <w:rsid w:val="00391D55"/>
    <w:rsid w:val="00392058"/>
    <w:rsid w:val="0039207B"/>
    <w:rsid w:val="00392147"/>
    <w:rsid w:val="00392160"/>
    <w:rsid w:val="003925A2"/>
    <w:rsid w:val="003925E0"/>
    <w:rsid w:val="003926BD"/>
    <w:rsid w:val="00392A89"/>
    <w:rsid w:val="00392EF8"/>
    <w:rsid w:val="00392F75"/>
    <w:rsid w:val="00392F83"/>
    <w:rsid w:val="00393030"/>
    <w:rsid w:val="00393327"/>
    <w:rsid w:val="003933A9"/>
    <w:rsid w:val="00393AFF"/>
    <w:rsid w:val="00394770"/>
    <w:rsid w:val="0039482D"/>
    <w:rsid w:val="00394947"/>
    <w:rsid w:val="00394B97"/>
    <w:rsid w:val="00394CE9"/>
    <w:rsid w:val="00394F41"/>
    <w:rsid w:val="00395053"/>
    <w:rsid w:val="00395156"/>
    <w:rsid w:val="003951E8"/>
    <w:rsid w:val="00395460"/>
    <w:rsid w:val="00395A42"/>
    <w:rsid w:val="00395A73"/>
    <w:rsid w:val="00395E5F"/>
    <w:rsid w:val="003960B9"/>
    <w:rsid w:val="003961C4"/>
    <w:rsid w:val="003963DE"/>
    <w:rsid w:val="00396589"/>
    <w:rsid w:val="0039680E"/>
    <w:rsid w:val="003969E8"/>
    <w:rsid w:val="00396DEE"/>
    <w:rsid w:val="003972DC"/>
    <w:rsid w:val="00397496"/>
    <w:rsid w:val="00397517"/>
    <w:rsid w:val="0039765F"/>
    <w:rsid w:val="00397666"/>
    <w:rsid w:val="0039766C"/>
    <w:rsid w:val="00397C57"/>
    <w:rsid w:val="00397E57"/>
    <w:rsid w:val="003A0026"/>
    <w:rsid w:val="003A041F"/>
    <w:rsid w:val="003A04F3"/>
    <w:rsid w:val="003A08C3"/>
    <w:rsid w:val="003A0BBB"/>
    <w:rsid w:val="003A0BBD"/>
    <w:rsid w:val="003A0DE5"/>
    <w:rsid w:val="003A0FB9"/>
    <w:rsid w:val="003A19D1"/>
    <w:rsid w:val="003A1B04"/>
    <w:rsid w:val="003A1C7E"/>
    <w:rsid w:val="003A1DF6"/>
    <w:rsid w:val="003A1E8A"/>
    <w:rsid w:val="003A204A"/>
    <w:rsid w:val="003A23ED"/>
    <w:rsid w:val="003A24F4"/>
    <w:rsid w:val="003A2659"/>
    <w:rsid w:val="003A27E6"/>
    <w:rsid w:val="003A2950"/>
    <w:rsid w:val="003A2961"/>
    <w:rsid w:val="003A3170"/>
    <w:rsid w:val="003A3194"/>
    <w:rsid w:val="003A31CE"/>
    <w:rsid w:val="003A3341"/>
    <w:rsid w:val="003A3562"/>
    <w:rsid w:val="003A36E1"/>
    <w:rsid w:val="003A37E8"/>
    <w:rsid w:val="003A3A28"/>
    <w:rsid w:val="003A3A8A"/>
    <w:rsid w:val="003A3AFF"/>
    <w:rsid w:val="003A3B06"/>
    <w:rsid w:val="003A3FA3"/>
    <w:rsid w:val="003A42FF"/>
    <w:rsid w:val="003A43FE"/>
    <w:rsid w:val="003A45BE"/>
    <w:rsid w:val="003A480D"/>
    <w:rsid w:val="003A48FB"/>
    <w:rsid w:val="003A4AF1"/>
    <w:rsid w:val="003A4E09"/>
    <w:rsid w:val="003A4E2C"/>
    <w:rsid w:val="003A4E6B"/>
    <w:rsid w:val="003A524B"/>
    <w:rsid w:val="003A525E"/>
    <w:rsid w:val="003A53CA"/>
    <w:rsid w:val="003A548E"/>
    <w:rsid w:val="003A55AD"/>
    <w:rsid w:val="003A5787"/>
    <w:rsid w:val="003A5AAC"/>
    <w:rsid w:val="003A5AE7"/>
    <w:rsid w:val="003A5D5D"/>
    <w:rsid w:val="003A5DAC"/>
    <w:rsid w:val="003A5E46"/>
    <w:rsid w:val="003A6156"/>
    <w:rsid w:val="003A61AD"/>
    <w:rsid w:val="003A61D3"/>
    <w:rsid w:val="003A622E"/>
    <w:rsid w:val="003A6385"/>
    <w:rsid w:val="003A656E"/>
    <w:rsid w:val="003A662F"/>
    <w:rsid w:val="003A6635"/>
    <w:rsid w:val="003A6C85"/>
    <w:rsid w:val="003A6CDF"/>
    <w:rsid w:val="003A6EF2"/>
    <w:rsid w:val="003A7162"/>
    <w:rsid w:val="003A72CD"/>
    <w:rsid w:val="003A7331"/>
    <w:rsid w:val="003A73C5"/>
    <w:rsid w:val="003A73D3"/>
    <w:rsid w:val="003A73DD"/>
    <w:rsid w:val="003A7482"/>
    <w:rsid w:val="003A76E7"/>
    <w:rsid w:val="003A7CB6"/>
    <w:rsid w:val="003A7DD3"/>
    <w:rsid w:val="003A7E2A"/>
    <w:rsid w:val="003B0197"/>
    <w:rsid w:val="003B0A99"/>
    <w:rsid w:val="003B0C29"/>
    <w:rsid w:val="003B0C39"/>
    <w:rsid w:val="003B0E24"/>
    <w:rsid w:val="003B110E"/>
    <w:rsid w:val="003B124C"/>
    <w:rsid w:val="003B14B6"/>
    <w:rsid w:val="003B167C"/>
    <w:rsid w:val="003B17C3"/>
    <w:rsid w:val="003B17D7"/>
    <w:rsid w:val="003B1A7B"/>
    <w:rsid w:val="003B1AD9"/>
    <w:rsid w:val="003B1B59"/>
    <w:rsid w:val="003B1BE5"/>
    <w:rsid w:val="003B1D03"/>
    <w:rsid w:val="003B200A"/>
    <w:rsid w:val="003B283B"/>
    <w:rsid w:val="003B288A"/>
    <w:rsid w:val="003B29EC"/>
    <w:rsid w:val="003B2E53"/>
    <w:rsid w:val="003B3041"/>
    <w:rsid w:val="003B3107"/>
    <w:rsid w:val="003B34A6"/>
    <w:rsid w:val="003B34B8"/>
    <w:rsid w:val="003B35C1"/>
    <w:rsid w:val="003B37DA"/>
    <w:rsid w:val="003B38FF"/>
    <w:rsid w:val="003B3AD6"/>
    <w:rsid w:val="003B3BE8"/>
    <w:rsid w:val="003B3CE3"/>
    <w:rsid w:val="003B3DC9"/>
    <w:rsid w:val="003B3FBB"/>
    <w:rsid w:val="003B4210"/>
    <w:rsid w:val="003B45EB"/>
    <w:rsid w:val="003B4993"/>
    <w:rsid w:val="003B4E0E"/>
    <w:rsid w:val="003B5289"/>
    <w:rsid w:val="003B54C3"/>
    <w:rsid w:val="003B5534"/>
    <w:rsid w:val="003B5579"/>
    <w:rsid w:val="003B56D1"/>
    <w:rsid w:val="003B5791"/>
    <w:rsid w:val="003B584A"/>
    <w:rsid w:val="003B58D8"/>
    <w:rsid w:val="003B5980"/>
    <w:rsid w:val="003B5B6B"/>
    <w:rsid w:val="003B5D5D"/>
    <w:rsid w:val="003B5F42"/>
    <w:rsid w:val="003B611F"/>
    <w:rsid w:val="003B614F"/>
    <w:rsid w:val="003B622B"/>
    <w:rsid w:val="003B6326"/>
    <w:rsid w:val="003B65DD"/>
    <w:rsid w:val="003B6620"/>
    <w:rsid w:val="003B6968"/>
    <w:rsid w:val="003B6BC5"/>
    <w:rsid w:val="003B7853"/>
    <w:rsid w:val="003B7C15"/>
    <w:rsid w:val="003B7D8A"/>
    <w:rsid w:val="003B7D99"/>
    <w:rsid w:val="003C0225"/>
    <w:rsid w:val="003C04F5"/>
    <w:rsid w:val="003C059D"/>
    <w:rsid w:val="003C05E2"/>
    <w:rsid w:val="003C05EF"/>
    <w:rsid w:val="003C09DB"/>
    <w:rsid w:val="003C0B8E"/>
    <w:rsid w:val="003C0BB6"/>
    <w:rsid w:val="003C0D5A"/>
    <w:rsid w:val="003C0F01"/>
    <w:rsid w:val="003C153B"/>
    <w:rsid w:val="003C1571"/>
    <w:rsid w:val="003C1704"/>
    <w:rsid w:val="003C17D3"/>
    <w:rsid w:val="003C1866"/>
    <w:rsid w:val="003C18FE"/>
    <w:rsid w:val="003C1DA4"/>
    <w:rsid w:val="003C1F2A"/>
    <w:rsid w:val="003C2294"/>
    <w:rsid w:val="003C257A"/>
    <w:rsid w:val="003C2613"/>
    <w:rsid w:val="003C2624"/>
    <w:rsid w:val="003C2640"/>
    <w:rsid w:val="003C2C85"/>
    <w:rsid w:val="003C2D6D"/>
    <w:rsid w:val="003C2DA2"/>
    <w:rsid w:val="003C2E88"/>
    <w:rsid w:val="003C2EDB"/>
    <w:rsid w:val="003C30D4"/>
    <w:rsid w:val="003C3193"/>
    <w:rsid w:val="003C36F4"/>
    <w:rsid w:val="003C3773"/>
    <w:rsid w:val="003C393B"/>
    <w:rsid w:val="003C3BB9"/>
    <w:rsid w:val="003C3E5C"/>
    <w:rsid w:val="003C3ECC"/>
    <w:rsid w:val="003C4476"/>
    <w:rsid w:val="003C466A"/>
    <w:rsid w:val="003C4C65"/>
    <w:rsid w:val="003C4EC6"/>
    <w:rsid w:val="003C4F18"/>
    <w:rsid w:val="003C5462"/>
    <w:rsid w:val="003C555C"/>
    <w:rsid w:val="003C5829"/>
    <w:rsid w:val="003C5958"/>
    <w:rsid w:val="003C5B37"/>
    <w:rsid w:val="003C5E37"/>
    <w:rsid w:val="003C5E3D"/>
    <w:rsid w:val="003C5E80"/>
    <w:rsid w:val="003C5FA5"/>
    <w:rsid w:val="003C5FCA"/>
    <w:rsid w:val="003C6078"/>
    <w:rsid w:val="003C61E9"/>
    <w:rsid w:val="003C6284"/>
    <w:rsid w:val="003C6402"/>
    <w:rsid w:val="003C6507"/>
    <w:rsid w:val="003C6512"/>
    <w:rsid w:val="003C66F9"/>
    <w:rsid w:val="003C6A2C"/>
    <w:rsid w:val="003C6B25"/>
    <w:rsid w:val="003C6CE9"/>
    <w:rsid w:val="003C6EA2"/>
    <w:rsid w:val="003C72AF"/>
    <w:rsid w:val="003C7360"/>
    <w:rsid w:val="003C7587"/>
    <w:rsid w:val="003C7631"/>
    <w:rsid w:val="003C777C"/>
    <w:rsid w:val="003D0154"/>
    <w:rsid w:val="003D0597"/>
    <w:rsid w:val="003D09E9"/>
    <w:rsid w:val="003D0B92"/>
    <w:rsid w:val="003D10C2"/>
    <w:rsid w:val="003D10FE"/>
    <w:rsid w:val="003D1916"/>
    <w:rsid w:val="003D1C17"/>
    <w:rsid w:val="003D22E5"/>
    <w:rsid w:val="003D2E3C"/>
    <w:rsid w:val="003D3041"/>
    <w:rsid w:val="003D30C2"/>
    <w:rsid w:val="003D34A5"/>
    <w:rsid w:val="003D357A"/>
    <w:rsid w:val="003D37E5"/>
    <w:rsid w:val="003D3887"/>
    <w:rsid w:val="003D3A26"/>
    <w:rsid w:val="003D3A65"/>
    <w:rsid w:val="003D3AD6"/>
    <w:rsid w:val="003D3C0D"/>
    <w:rsid w:val="003D3D6E"/>
    <w:rsid w:val="003D3F45"/>
    <w:rsid w:val="003D4050"/>
    <w:rsid w:val="003D4120"/>
    <w:rsid w:val="003D43C8"/>
    <w:rsid w:val="003D4409"/>
    <w:rsid w:val="003D4433"/>
    <w:rsid w:val="003D47E3"/>
    <w:rsid w:val="003D4929"/>
    <w:rsid w:val="003D4993"/>
    <w:rsid w:val="003D499E"/>
    <w:rsid w:val="003D4D32"/>
    <w:rsid w:val="003D532E"/>
    <w:rsid w:val="003D548A"/>
    <w:rsid w:val="003D55DA"/>
    <w:rsid w:val="003D5C66"/>
    <w:rsid w:val="003D5CFF"/>
    <w:rsid w:val="003D5DDF"/>
    <w:rsid w:val="003D5EB7"/>
    <w:rsid w:val="003D62DB"/>
    <w:rsid w:val="003D6388"/>
    <w:rsid w:val="003D64FE"/>
    <w:rsid w:val="003D65FD"/>
    <w:rsid w:val="003D66A4"/>
    <w:rsid w:val="003D6F34"/>
    <w:rsid w:val="003D728D"/>
    <w:rsid w:val="003D73A9"/>
    <w:rsid w:val="003D7435"/>
    <w:rsid w:val="003D7590"/>
    <w:rsid w:val="003D7672"/>
    <w:rsid w:val="003D7689"/>
    <w:rsid w:val="003D7AF7"/>
    <w:rsid w:val="003D7D79"/>
    <w:rsid w:val="003D7E6B"/>
    <w:rsid w:val="003D7F86"/>
    <w:rsid w:val="003E031A"/>
    <w:rsid w:val="003E06EC"/>
    <w:rsid w:val="003E086A"/>
    <w:rsid w:val="003E0AD2"/>
    <w:rsid w:val="003E0FA0"/>
    <w:rsid w:val="003E10E9"/>
    <w:rsid w:val="003E1643"/>
    <w:rsid w:val="003E16D9"/>
    <w:rsid w:val="003E18EB"/>
    <w:rsid w:val="003E1B5C"/>
    <w:rsid w:val="003E1B70"/>
    <w:rsid w:val="003E2228"/>
    <w:rsid w:val="003E22DE"/>
    <w:rsid w:val="003E231E"/>
    <w:rsid w:val="003E2905"/>
    <w:rsid w:val="003E2D63"/>
    <w:rsid w:val="003E3228"/>
    <w:rsid w:val="003E33EB"/>
    <w:rsid w:val="003E3B9B"/>
    <w:rsid w:val="003E3FC8"/>
    <w:rsid w:val="003E4025"/>
    <w:rsid w:val="003E4030"/>
    <w:rsid w:val="003E4174"/>
    <w:rsid w:val="003E42EB"/>
    <w:rsid w:val="003E433E"/>
    <w:rsid w:val="003E435B"/>
    <w:rsid w:val="003E462A"/>
    <w:rsid w:val="003E4839"/>
    <w:rsid w:val="003E4963"/>
    <w:rsid w:val="003E4BBD"/>
    <w:rsid w:val="003E4FE7"/>
    <w:rsid w:val="003E508F"/>
    <w:rsid w:val="003E5367"/>
    <w:rsid w:val="003E539A"/>
    <w:rsid w:val="003E545F"/>
    <w:rsid w:val="003E5751"/>
    <w:rsid w:val="003E57F9"/>
    <w:rsid w:val="003E5D49"/>
    <w:rsid w:val="003E6013"/>
    <w:rsid w:val="003E608A"/>
    <w:rsid w:val="003E61CD"/>
    <w:rsid w:val="003E62B7"/>
    <w:rsid w:val="003E637A"/>
    <w:rsid w:val="003E63AE"/>
    <w:rsid w:val="003E64D0"/>
    <w:rsid w:val="003E67A1"/>
    <w:rsid w:val="003E68A6"/>
    <w:rsid w:val="003E6CB8"/>
    <w:rsid w:val="003E6D7F"/>
    <w:rsid w:val="003E70B1"/>
    <w:rsid w:val="003E750D"/>
    <w:rsid w:val="003E76B7"/>
    <w:rsid w:val="003E76F3"/>
    <w:rsid w:val="003E7719"/>
    <w:rsid w:val="003E7733"/>
    <w:rsid w:val="003E786B"/>
    <w:rsid w:val="003E7A0A"/>
    <w:rsid w:val="003E7ABF"/>
    <w:rsid w:val="003E7C97"/>
    <w:rsid w:val="003E7CB4"/>
    <w:rsid w:val="003E7D0F"/>
    <w:rsid w:val="003E7D59"/>
    <w:rsid w:val="003E7F12"/>
    <w:rsid w:val="003E7FD5"/>
    <w:rsid w:val="003F0518"/>
    <w:rsid w:val="003F0556"/>
    <w:rsid w:val="003F055F"/>
    <w:rsid w:val="003F05C2"/>
    <w:rsid w:val="003F0B78"/>
    <w:rsid w:val="003F0E79"/>
    <w:rsid w:val="003F10AB"/>
    <w:rsid w:val="003F10F3"/>
    <w:rsid w:val="003F121A"/>
    <w:rsid w:val="003F148F"/>
    <w:rsid w:val="003F14E8"/>
    <w:rsid w:val="003F14FA"/>
    <w:rsid w:val="003F1586"/>
    <w:rsid w:val="003F1C70"/>
    <w:rsid w:val="003F22D2"/>
    <w:rsid w:val="003F25CB"/>
    <w:rsid w:val="003F2E93"/>
    <w:rsid w:val="003F2F4C"/>
    <w:rsid w:val="003F3015"/>
    <w:rsid w:val="003F333A"/>
    <w:rsid w:val="003F4F62"/>
    <w:rsid w:val="003F5214"/>
    <w:rsid w:val="003F534F"/>
    <w:rsid w:val="003F5D08"/>
    <w:rsid w:val="003F5F23"/>
    <w:rsid w:val="003F613B"/>
    <w:rsid w:val="003F6164"/>
    <w:rsid w:val="003F6302"/>
    <w:rsid w:val="003F6A84"/>
    <w:rsid w:val="003F6E14"/>
    <w:rsid w:val="003F6E83"/>
    <w:rsid w:val="003F6EC8"/>
    <w:rsid w:val="003F701E"/>
    <w:rsid w:val="003F71B9"/>
    <w:rsid w:val="003F731E"/>
    <w:rsid w:val="003F7382"/>
    <w:rsid w:val="003F7476"/>
    <w:rsid w:val="003F7C23"/>
    <w:rsid w:val="003F7CDB"/>
    <w:rsid w:val="003F7D35"/>
    <w:rsid w:val="003F7D75"/>
    <w:rsid w:val="003F7EDF"/>
    <w:rsid w:val="004001F9"/>
    <w:rsid w:val="00400849"/>
    <w:rsid w:val="00400B45"/>
    <w:rsid w:val="00400E79"/>
    <w:rsid w:val="004010A7"/>
    <w:rsid w:val="004011B2"/>
    <w:rsid w:val="00401792"/>
    <w:rsid w:val="00401899"/>
    <w:rsid w:val="00401B20"/>
    <w:rsid w:val="00401BB4"/>
    <w:rsid w:val="00401BE1"/>
    <w:rsid w:val="00401CC3"/>
    <w:rsid w:val="00401E34"/>
    <w:rsid w:val="00401EC0"/>
    <w:rsid w:val="00401F94"/>
    <w:rsid w:val="0040222B"/>
    <w:rsid w:val="0040247B"/>
    <w:rsid w:val="00402504"/>
    <w:rsid w:val="004027A5"/>
    <w:rsid w:val="00402844"/>
    <w:rsid w:val="0040299B"/>
    <w:rsid w:val="00402A9A"/>
    <w:rsid w:val="00402F17"/>
    <w:rsid w:val="00403503"/>
    <w:rsid w:val="004036E1"/>
    <w:rsid w:val="004038A2"/>
    <w:rsid w:val="00403A07"/>
    <w:rsid w:val="00403EC2"/>
    <w:rsid w:val="004040D8"/>
    <w:rsid w:val="0040410D"/>
    <w:rsid w:val="00404115"/>
    <w:rsid w:val="00404914"/>
    <w:rsid w:val="004049A1"/>
    <w:rsid w:val="00404B16"/>
    <w:rsid w:val="00404C04"/>
    <w:rsid w:val="00404CDF"/>
    <w:rsid w:val="00404E8F"/>
    <w:rsid w:val="004050B6"/>
    <w:rsid w:val="004050D0"/>
    <w:rsid w:val="0040520D"/>
    <w:rsid w:val="004055A0"/>
    <w:rsid w:val="00405643"/>
    <w:rsid w:val="0040580A"/>
    <w:rsid w:val="00405A58"/>
    <w:rsid w:val="00405B45"/>
    <w:rsid w:val="00405E71"/>
    <w:rsid w:val="00405F14"/>
    <w:rsid w:val="004060F3"/>
    <w:rsid w:val="004062A4"/>
    <w:rsid w:val="004062E1"/>
    <w:rsid w:val="004063BE"/>
    <w:rsid w:val="004063E7"/>
    <w:rsid w:val="00406C27"/>
    <w:rsid w:val="00406EE4"/>
    <w:rsid w:val="00406FE6"/>
    <w:rsid w:val="004075E5"/>
    <w:rsid w:val="00407A7E"/>
    <w:rsid w:val="00407B38"/>
    <w:rsid w:val="00407C9F"/>
    <w:rsid w:val="00407F83"/>
    <w:rsid w:val="004100F6"/>
    <w:rsid w:val="00410129"/>
    <w:rsid w:val="00410204"/>
    <w:rsid w:val="0041031B"/>
    <w:rsid w:val="00410605"/>
    <w:rsid w:val="00410874"/>
    <w:rsid w:val="00410D9E"/>
    <w:rsid w:val="00410F9B"/>
    <w:rsid w:val="00411123"/>
    <w:rsid w:val="00411157"/>
    <w:rsid w:val="004113BA"/>
    <w:rsid w:val="00411B56"/>
    <w:rsid w:val="00411D43"/>
    <w:rsid w:val="00411E86"/>
    <w:rsid w:val="0041203E"/>
    <w:rsid w:val="004120F5"/>
    <w:rsid w:val="004123A5"/>
    <w:rsid w:val="00412408"/>
    <w:rsid w:val="0041240A"/>
    <w:rsid w:val="00412624"/>
    <w:rsid w:val="00412807"/>
    <w:rsid w:val="00412874"/>
    <w:rsid w:val="00412A66"/>
    <w:rsid w:val="0041332F"/>
    <w:rsid w:val="0041379E"/>
    <w:rsid w:val="00413B37"/>
    <w:rsid w:val="00413C98"/>
    <w:rsid w:val="00413D2E"/>
    <w:rsid w:val="00413DC2"/>
    <w:rsid w:val="0041406B"/>
    <w:rsid w:val="004142DD"/>
    <w:rsid w:val="0041433D"/>
    <w:rsid w:val="00414388"/>
    <w:rsid w:val="00414488"/>
    <w:rsid w:val="00414597"/>
    <w:rsid w:val="004145C7"/>
    <w:rsid w:val="00414714"/>
    <w:rsid w:val="00414A73"/>
    <w:rsid w:val="00414E98"/>
    <w:rsid w:val="00414F8D"/>
    <w:rsid w:val="00414FCC"/>
    <w:rsid w:val="004152AA"/>
    <w:rsid w:val="00415682"/>
    <w:rsid w:val="004156C1"/>
    <w:rsid w:val="0041594C"/>
    <w:rsid w:val="00415B14"/>
    <w:rsid w:val="00415C7B"/>
    <w:rsid w:val="00415EE4"/>
    <w:rsid w:val="0041667D"/>
    <w:rsid w:val="004166FF"/>
    <w:rsid w:val="00416779"/>
    <w:rsid w:val="00416849"/>
    <w:rsid w:val="00416977"/>
    <w:rsid w:val="004169A8"/>
    <w:rsid w:val="00416B80"/>
    <w:rsid w:val="00416E5E"/>
    <w:rsid w:val="00416EA7"/>
    <w:rsid w:val="00416F27"/>
    <w:rsid w:val="0041715A"/>
    <w:rsid w:val="004173B9"/>
    <w:rsid w:val="00417413"/>
    <w:rsid w:val="004174D2"/>
    <w:rsid w:val="0041770A"/>
    <w:rsid w:val="00417B1E"/>
    <w:rsid w:val="00417D81"/>
    <w:rsid w:val="00417E8A"/>
    <w:rsid w:val="004202BF"/>
    <w:rsid w:val="004203B7"/>
    <w:rsid w:val="004204A1"/>
    <w:rsid w:val="00420841"/>
    <w:rsid w:val="004209E3"/>
    <w:rsid w:val="00420BDF"/>
    <w:rsid w:val="00420C45"/>
    <w:rsid w:val="00420CB3"/>
    <w:rsid w:val="00420DEE"/>
    <w:rsid w:val="004212DF"/>
    <w:rsid w:val="004213E2"/>
    <w:rsid w:val="004214AF"/>
    <w:rsid w:val="00421563"/>
    <w:rsid w:val="00421748"/>
    <w:rsid w:val="004218BB"/>
    <w:rsid w:val="00421ACB"/>
    <w:rsid w:val="00421E34"/>
    <w:rsid w:val="00421EAF"/>
    <w:rsid w:val="00421F5C"/>
    <w:rsid w:val="004220D0"/>
    <w:rsid w:val="00422168"/>
    <w:rsid w:val="0042222D"/>
    <w:rsid w:val="00422743"/>
    <w:rsid w:val="0042284C"/>
    <w:rsid w:val="004228AF"/>
    <w:rsid w:val="00422B33"/>
    <w:rsid w:val="00422DCB"/>
    <w:rsid w:val="00422FE0"/>
    <w:rsid w:val="00423209"/>
    <w:rsid w:val="00423278"/>
    <w:rsid w:val="00423339"/>
    <w:rsid w:val="0042343B"/>
    <w:rsid w:val="00423A23"/>
    <w:rsid w:val="00423A5A"/>
    <w:rsid w:val="00423E10"/>
    <w:rsid w:val="00423F28"/>
    <w:rsid w:val="00424089"/>
    <w:rsid w:val="0042456C"/>
    <w:rsid w:val="00424625"/>
    <w:rsid w:val="0042498D"/>
    <w:rsid w:val="004249EE"/>
    <w:rsid w:val="00424B07"/>
    <w:rsid w:val="00424FE4"/>
    <w:rsid w:val="00425288"/>
    <w:rsid w:val="0042529B"/>
    <w:rsid w:val="0042531D"/>
    <w:rsid w:val="0042547A"/>
    <w:rsid w:val="004254AF"/>
    <w:rsid w:val="004257C5"/>
    <w:rsid w:val="00425C27"/>
    <w:rsid w:val="00425DFE"/>
    <w:rsid w:val="00425E63"/>
    <w:rsid w:val="0042605E"/>
    <w:rsid w:val="00426068"/>
    <w:rsid w:val="0042608E"/>
    <w:rsid w:val="00426ADF"/>
    <w:rsid w:val="00426AF7"/>
    <w:rsid w:val="00426CD4"/>
    <w:rsid w:val="00426D76"/>
    <w:rsid w:val="00426E63"/>
    <w:rsid w:val="00426F0B"/>
    <w:rsid w:val="00426F6F"/>
    <w:rsid w:val="00427209"/>
    <w:rsid w:val="004274B8"/>
    <w:rsid w:val="0042777C"/>
    <w:rsid w:val="004279EB"/>
    <w:rsid w:val="00427DBF"/>
    <w:rsid w:val="00427F01"/>
    <w:rsid w:val="00427F25"/>
    <w:rsid w:val="00427F5D"/>
    <w:rsid w:val="00430076"/>
    <w:rsid w:val="00430083"/>
    <w:rsid w:val="00430121"/>
    <w:rsid w:val="004302B3"/>
    <w:rsid w:val="004303B2"/>
    <w:rsid w:val="00430540"/>
    <w:rsid w:val="0043079E"/>
    <w:rsid w:val="00430D60"/>
    <w:rsid w:val="0043138A"/>
    <w:rsid w:val="00431401"/>
    <w:rsid w:val="00431731"/>
    <w:rsid w:val="004318F2"/>
    <w:rsid w:val="004318F8"/>
    <w:rsid w:val="00431A20"/>
    <w:rsid w:val="00431BE6"/>
    <w:rsid w:val="00431D58"/>
    <w:rsid w:val="00431E63"/>
    <w:rsid w:val="00432247"/>
    <w:rsid w:val="00432291"/>
    <w:rsid w:val="004323AC"/>
    <w:rsid w:val="00432657"/>
    <w:rsid w:val="00432777"/>
    <w:rsid w:val="004328B5"/>
    <w:rsid w:val="004328C7"/>
    <w:rsid w:val="00432ECD"/>
    <w:rsid w:val="00433571"/>
    <w:rsid w:val="00433855"/>
    <w:rsid w:val="00433985"/>
    <w:rsid w:val="00433D10"/>
    <w:rsid w:val="00433EC1"/>
    <w:rsid w:val="0043425B"/>
    <w:rsid w:val="004343E0"/>
    <w:rsid w:val="00434430"/>
    <w:rsid w:val="00434F51"/>
    <w:rsid w:val="00435136"/>
    <w:rsid w:val="00435496"/>
    <w:rsid w:val="004356F2"/>
    <w:rsid w:val="00435800"/>
    <w:rsid w:val="004358FF"/>
    <w:rsid w:val="00435AB4"/>
    <w:rsid w:val="00435E24"/>
    <w:rsid w:val="00435FD5"/>
    <w:rsid w:val="00435FE3"/>
    <w:rsid w:val="0043607E"/>
    <w:rsid w:val="00436356"/>
    <w:rsid w:val="00436372"/>
    <w:rsid w:val="0043646E"/>
    <w:rsid w:val="00436492"/>
    <w:rsid w:val="004365A4"/>
    <w:rsid w:val="00436700"/>
    <w:rsid w:val="00436DE7"/>
    <w:rsid w:val="00436F6D"/>
    <w:rsid w:val="004371C9"/>
    <w:rsid w:val="0043723D"/>
    <w:rsid w:val="00437597"/>
    <w:rsid w:val="00437621"/>
    <w:rsid w:val="00437687"/>
    <w:rsid w:val="004376C0"/>
    <w:rsid w:val="00437AB0"/>
    <w:rsid w:val="00437CA0"/>
    <w:rsid w:val="0044027E"/>
    <w:rsid w:val="004402BE"/>
    <w:rsid w:val="0044042E"/>
    <w:rsid w:val="004405E4"/>
    <w:rsid w:val="00440835"/>
    <w:rsid w:val="00440A62"/>
    <w:rsid w:val="00440A7B"/>
    <w:rsid w:val="00440DFF"/>
    <w:rsid w:val="00440F46"/>
    <w:rsid w:val="00441399"/>
    <w:rsid w:val="004414FE"/>
    <w:rsid w:val="004416D8"/>
    <w:rsid w:val="00441944"/>
    <w:rsid w:val="004419F0"/>
    <w:rsid w:val="00441E0A"/>
    <w:rsid w:val="00442229"/>
    <w:rsid w:val="00442243"/>
    <w:rsid w:val="004427B8"/>
    <w:rsid w:val="004427C0"/>
    <w:rsid w:val="00442EC1"/>
    <w:rsid w:val="00443595"/>
    <w:rsid w:val="00443A85"/>
    <w:rsid w:val="00443BA7"/>
    <w:rsid w:val="00443D3B"/>
    <w:rsid w:val="00444035"/>
    <w:rsid w:val="0044403B"/>
    <w:rsid w:val="00444601"/>
    <w:rsid w:val="00444947"/>
    <w:rsid w:val="004449C9"/>
    <w:rsid w:val="00444A31"/>
    <w:rsid w:val="00444CC0"/>
    <w:rsid w:val="00444D1F"/>
    <w:rsid w:val="00444D41"/>
    <w:rsid w:val="00444DF7"/>
    <w:rsid w:val="004453F7"/>
    <w:rsid w:val="004454FF"/>
    <w:rsid w:val="00445574"/>
    <w:rsid w:val="004459AD"/>
    <w:rsid w:val="00445AD3"/>
    <w:rsid w:val="00445AD7"/>
    <w:rsid w:val="00445B2A"/>
    <w:rsid w:val="00445B5E"/>
    <w:rsid w:val="00445EC9"/>
    <w:rsid w:val="00446150"/>
    <w:rsid w:val="004466AD"/>
    <w:rsid w:val="00446900"/>
    <w:rsid w:val="00446A4C"/>
    <w:rsid w:val="00446C9C"/>
    <w:rsid w:val="00446D8D"/>
    <w:rsid w:val="00446FAD"/>
    <w:rsid w:val="004476D5"/>
    <w:rsid w:val="004477DC"/>
    <w:rsid w:val="00447803"/>
    <w:rsid w:val="00447A05"/>
    <w:rsid w:val="00447B0C"/>
    <w:rsid w:val="00447B65"/>
    <w:rsid w:val="00447C81"/>
    <w:rsid w:val="00447DAB"/>
    <w:rsid w:val="00447E71"/>
    <w:rsid w:val="00447ECD"/>
    <w:rsid w:val="0045037B"/>
    <w:rsid w:val="00450916"/>
    <w:rsid w:val="00450932"/>
    <w:rsid w:val="00450A55"/>
    <w:rsid w:val="00450E4F"/>
    <w:rsid w:val="00450F79"/>
    <w:rsid w:val="00451014"/>
    <w:rsid w:val="00451053"/>
    <w:rsid w:val="0045157A"/>
    <w:rsid w:val="004515CA"/>
    <w:rsid w:val="00451B55"/>
    <w:rsid w:val="00451F4C"/>
    <w:rsid w:val="004520EE"/>
    <w:rsid w:val="004522E0"/>
    <w:rsid w:val="0045239E"/>
    <w:rsid w:val="00452702"/>
    <w:rsid w:val="00452764"/>
    <w:rsid w:val="004529CC"/>
    <w:rsid w:val="0045318C"/>
    <w:rsid w:val="004536A2"/>
    <w:rsid w:val="004539A1"/>
    <w:rsid w:val="00453A8A"/>
    <w:rsid w:val="00453C21"/>
    <w:rsid w:val="00453E56"/>
    <w:rsid w:val="004540AB"/>
    <w:rsid w:val="00454662"/>
    <w:rsid w:val="004548C5"/>
    <w:rsid w:val="00454B01"/>
    <w:rsid w:val="00454CD5"/>
    <w:rsid w:val="00454DB8"/>
    <w:rsid w:val="00454DCD"/>
    <w:rsid w:val="00455117"/>
    <w:rsid w:val="0045519B"/>
    <w:rsid w:val="00455B3C"/>
    <w:rsid w:val="00455B57"/>
    <w:rsid w:val="00455C39"/>
    <w:rsid w:val="00455E41"/>
    <w:rsid w:val="004562AD"/>
    <w:rsid w:val="00456942"/>
    <w:rsid w:val="004569FB"/>
    <w:rsid w:val="00456A49"/>
    <w:rsid w:val="00456C72"/>
    <w:rsid w:val="00456E39"/>
    <w:rsid w:val="00456F0D"/>
    <w:rsid w:val="00457087"/>
    <w:rsid w:val="0045716D"/>
    <w:rsid w:val="004571D4"/>
    <w:rsid w:val="00457286"/>
    <w:rsid w:val="004574A4"/>
    <w:rsid w:val="00457BB5"/>
    <w:rsid w:val="00457BFD"/>
    <w:rsid w:val="00457C8D"/>
    <w:rsid w:val="00457C96"/>
    <w:rsid w:val="00457DB8"/>
    <w:rsid w:val="004607B9"/>
    <w:rsid w:val="0046103A"/>
    <w:rsid w:val="004615ED"/>
    <w:rsid w:val="0046184F"/>
    <w:rsid w:val="00461943"/>
    <w:rsid w:val="0046196B"/>
    <w:rsid w:val="00462052"/>
    <w:rsid w:val="0046231D"/>
    <w:rsid w:val="004626BB"/>
    <w:rsid w:val="0046271F"/>
    <w:rsid w:val="00462B8B"/>
    <w:rsid w:val="0046320D"/>
    <w:rsid w:val="004634AA"/>
    <w:rsid w:val="00463A19"/>
    <w:rsid w:val="00463B30"/>
    <w:rsid w:val="00463B7D"/>
    <w:rsid w:val="00463C94"/>
    <w:rsid w:val="00463CFF"/>
    <w:rsid w:val="00463D47"/>
    <w:rsid w:val="00463FE7"/>
    <w:rsid w:val="004644C7"/>
    <w:rsid w:val="0046469C"/>
    <w:rsid w:val="00464879"/>
    <w:rsid w:val="00464D0A"/>
    <w:rsid w:val="00464D10"/>
    <w:rsid w:val="00464F9F"/>
    <w:rsid w:val="004650AE"/>
    <w:rsid w:val="004651DF"/>
    <w:rsid w:val="0046545D"/>
    <w:rsid w:val="00465511"/>
    <w:rsid w:val="00465530"/>
    <w:rsid w:val="0046588D"/>
    <w:rsid w:val="004659F0"/>
    <w:rsid w:val="00465A2A"/>
    <w:rsid w:val="004662EC"/>
    <w:rsid w:val="004664A7"/>
    <w:rsid w:val="004665D9"/>
    <w:rsid w:val="00466B0B"/>
    <w:rsid w:val="00466C8C"/>
    <w:rsid w:val="00466EAB"/>
    <w:rsid w:val="00466F54"/>
    <w:rsid w:val="00467275"/>
    <w:rsid w:val="004672DF"/>
    <w:rsid w:val="004673C3"/>
    <w:rsid w:val="004678AE"/>
    <w:rsid w:val="00467B28"/>
    <w:rsid w:val="00467B79"/>
    <w:rsid w:val="00467D1C"/>
    <w:rsid w:val="00467E1C"/>
    <w:rsid w:val="00467FF6"/>
    <w:rsid w:val="00470046"/>
    <w:rsid w:val="0047009D"/>
    <w:rsid w:val="004704B3"/>
    <w:rsid w:val="00470543"/>
    <w:rsid w:val="004707C3"/>
    <w:rsid w:val="004708F7"/>
    <w:rsid w:val="0047092A"/>
    <w:rsid w:val="00470BD0"/>
    <w:rsid w:val="00470BEA"/>
    <w:rsid w:val="00470FE2"/>
    <w:rsid w:val="004710ED"/>
    <w:rsid w:val="00471131"/>
    <w:rsid w:val="0047148E"/>
    <w:rsid w:val="004714EC"/>
    <w:rsid w:val="004715F3"/>
    <w:rsid w:val="004716CB"/>
    <w:rsid w:val="00471976"/>
    <w:rsid w:val="00471BA2"/>
    <w:rsid w:val="00471BCA"/>
    <w:rsid w:val="00471D5C"/>
    <w:rsid w:val="00471E5A"/>
    <w:rsid w:val="00471F7C"/>
    <w:rsid w:val="00471FDA"/>
    <w:rsid w:val="00472218"/>
    <w:rsid w:val="0047271D"/>
    <w:rsid w:val="0047284B"/>
    <w:rsid w:val="0047286D"/>
    <w:rsid w:val="0047295A"/>
    <w:rsid w:val="004729A4"/>
    <w:rsid w:val="00472B63"/>
    <w:rsid w:val="00473101"/>
    <w:rsid w:val="004732F8"/>
    <w:rsid w:val="0047350E"/>
    <w:rsid w:val="00473531"/>
    <w:rsid w:val="004737C5"/>
    <w:rsid w:val="004738CE"/>
    <w:rsid w:val="004739A6"/>
    <w:rsid w:val="00473DF8"/>
    <w:rsid w:val="00473F9D"/>
    <w:rsid w:val="00474070"/>
    <w:rsid w:val="00474076"/>
    <w:rsid w:val="0047408F"/>
    <w:rsid w:val="004743B6"/>
    <w:rsid w:val="004747BE"/>
    <w:rsid w:val="0047480B"/>
    <w:rsid w:val="00474A75"/>
    <w:rsid w:val="00474C91"/>
    <w:rsid w:val="00474E2E"/>
    <w:rsid w:val="00474EC3"/>
    <w:rsid w:val="00474FCC"/>
    <w:rsid w:val="00475265"/>
    <w:rsid w:val="00475350"/>
    <w:rsid w:val="00475490"/>
    <w:rsid w:val="0047558D"/>
    <w:rsid w:val="0047564E"/>
    <w:rsid w:val="00475768"/>
    <w:rsid w:val="0047588A"/>
    <w:rsid w:val="00475899"/>
    <w:rsid w:val="004761F7"/>
    <w:rsid w:val="004765CE"/>
    <w:rsid w:val="004765D4"/>
    <w:rsid w:val="004765D7"/>
    <w:rsid w:val="004769A8"/>
    <w:rsid w:val="00476CEF"/>
    <w:rsid w:val="00476DB2"/>
    <w:rsid w:val="00477042"/>
    <w:rsid w:val="00477359"/>
    <w:rsid w:val="004773F0"/>
    <w:rsid w:val="00477436"/>
    <w:rsid w:val="004776A6"/>
    <w:rsid w:val="0047797B"/>
    <w:rsid w:val="00477A1E"/>
    <w:rsid w:val="00477A6F"/>
    <w:rsid w:val="004800D5"/>
    <w:rsid w:val="004803FB"/>
    <w:rsid w:val="00480612"/>
    <w:rsid w:val="00480788"/>
    <w:rsid w:val="004808DB"/>
    <w:rsid w:val="004809A3"/>
    <w:rsid w:val="00480A62"/>
    <w:rsid w:val="00480C6E"/>
    <w:rsid w:val="00480E22"/>
    <w:rsid w:val="004811D0"/>
    <w:rsid w:val="004814B3"/>
    <w:rsid w:val="004815CB"/>
    <w:rsid w:val="0048166F"/>
    <w:rsid w:val="004816B8"/>
    <w:rsid w:val="004816C4"/>
    <w:rsid w:val="00481C5B"/>
    <w:rsid w:val="00481D05"/>
    <w:rsid w:val="00481DAC"/>
    <w:rsid w:val="004821EB"/>
    <w:rsid w:val="0048228F"/>
    <w:rsid w:val="00482538"/>
    <w:rsid w:val="004825DD"/>
    <w:rsid w:val="00483235"/>
    <w:rsid w:val="004834E5"/>
    <w:rsid w:val="004836DB"/>
    <w:rsid w:val="00483755"/>
    <w:rsid w:val="004837C6"/>
    <w:rsid w:val="00483B26"/>
    <w:rsid w:val="00483B36"/>
    <w:rsid w:val="004842BF"/>
    <w:rsid w:val="004848D7"/>
    <w:rsid w:val="00484A68"/>
    <w:rsid w:val="00484B25"/>
    <w:rsid w:val="00484CFD"/>
    <w:rsid w:val="00484DB6"/>
    <w:rsid w:val="00485313"/>
    <w:rsid w:val="0048536A"/>
    <w:rsid w:val="00485870"/>
    <w:rsid w:val="00485A4C"/>
    <w:rsid w:val="00485A65"/>
    <w:rsid w:val="00485AF4"/>
    <w:rsid w:val="00485D1B"/>
    <w:rsid w:val="00485D97"/>
    <w:rsid w:val="00485EA3"/>
    <w:rsid w:val="00485F42"/>
    <w:rsid w:val="004863ED"/>
    <w:rsid w:val="00486505"/>
    <w:rsid w:val="00486561"/>
    <w:rsid w:val="0048692A"/>
    <w:rsid w:val="00486BFF"/>
    <w:rsid w:val="00486DEA"/>
    <w:rsid w:val="00486FFD"/>
    <w:rsid w:val="0048724F"/>
    <w:rsid w:val="004872B6"/>
    <w:rsid w:val="004873C2"/>
    <w:rsid w:val="0048742F"/>
    <w:rsid w:val="00487858"/>
    <w:rsid w:val="00487BB3"/>
    <w:rsid w:val="00487E6E"/>
    <w:rsid w:val="00487F2E"/>
    <w:rsid w:val="004906C4"/>
    <w:rsid w:val="0049078C"/>
    <w:rsid w:val="004908EF"/>
    <w:rsid w:val="00490D7C"/>
    <w:rsid w:val="00490DEF"/>
    <w:rsid w:val="00491391"/>
    <w:rsid w:val="00491637"/>
    <w:rsid w:val="00491653"/>
    <w:rsid w:val="00491D27"/>
    <w:rsid w:val="00491EFB"/>
    <w:rsid w:val="00491F8F"/>
    <w:rsid w:val="00492504"/>
    <w:rsid w:val="0049263D"/>
    <w:rsid w:val="00492719"/>
    <w:rsid w:val="00492910"/>
    <w:rsid w:val="00492B62"/>
    <w:rsid w:val="00492D3E"/>
    <w:rsid w:val="00492D62"/>
    <w:rsid w:val="00493096"/>
    <w:rsid w:val="0049309C"/>
    <w:rsid w:val="004932BC"/>
    <w:rsid w:val="00493A1F"/>
    <w:rsid w:val="00493D97"/>
    <w:rsid w:val="00493EBE"/>
    <w:rsid w:val="00493F28"/>
    <w:rsid w:val="004947FA"/>
    <w:rsid w:val="004948BD"/>
    <w:rsid w:val="0049490B"/>
    <w:rsid w:val="00494F70"/>
    <w:rsid w:val="00494FDA"/>
    <w:rsid w:val="004950FC"/>
    <w:rsid w:val="004951CB"/>
    <w:rsid w:val="00495259"/>
    <w:rsid w:val="00495BDA"/>
    <w:rsid w:val="00495BFB"/>
    <w:rsid w:val="00495E6D"/>
    <w:rsid w:val="00495E8C"/>
    <w:rsid w:val="00495F0F"/>
    <w:rsid w:val="004961E8"/>
    <w:rsid w:val="00496719"/>
    <w:rsid w:val="00496829"/>
    <w:rsid w:val="00496B25"/>
    <w:rsid w:val="00496E6D"/>
    <w:rsid w:val="00496F1A"/>
    <w:rsid w:val="00496F71"/>
    <w:rsid w:val="00496FC6"/>
    <w:rsid w:val="004972E4"/>
    <w:rsid w:val="00497787"/>
    <w:rsid w:val="00497879"/>
    <w:rsid w:val="00497A66"/>
    <w:rsid w:val="00497DB6"/>
    <w:rsid w:val="00497E46"/>
    <w:rsid w:val="00497ED7"/>
    <w:rsid w:val="004A0055"/>
    <w:rsid w:val="004A01AC"/>
    <w:rsid w:val="004A0200"/>
    <w:rsid w:val="004A0336"/>
    <w:rsid w:val="004A0677"/>
    <w:rsid w:val="004A06B5"/>
    <w:rsid w:val="004A0771"/>
    <w:rsid w:val="004A078C"/>
    <w:rsid w:val="004A07D4"/>
    <w:rsid w:val="004A07FB"/>
    <w:rsid w:val="004A0AA6"/>
    <w:rsid w:val="004A0BC5"/>
    <w:rsid w:val="004A0D94"/>
    <w:rsid w:val="004A0F33"/>
    <w:rsid w:val="004A1043"/>
    <w:rsid w:val="004A125A"/>
    <w:rsid w:val="004A125F"/>
    <w:rsid w:val="004A1552"/>
    <w:rsid w:val="004A16EA"/>
    <w:rsid w:val="004A1B63"/>
    <w:rsid w:val="004A1D94"/>
    <w:rsid w:val="004A2092"/>
    <w:rsid w:val="004A21D1"/>
    <w:rsid w:val="004A25D4"/>
    <w:rsid w:val="004A28D5"/>
    <w:rsid w:val="004A2BC3"/>
    <w:rsid w:val="004A2C06"/>
    <w:rsid w:val="004A2E23"/>
    <w:rsid w:val="004A320E"/>
    <w:rsid w:val="004A32C8"/>
    <w:rsid w:val="004A354B"/>
    <w:rsid w:val="004A3773"/>
    <w:rsid w:val="004A3E01"/>
    <w:rsid w:val="004A3E3F"/>
    <w:rsid w:val="004A3EAE"/>
    <w:rsid w:val="004A4124"/>
    <w:rsid w:val="004A422B"/>
    <w:rsid w:val="004A435F"/>
    <w:rsid w:val="004A4767"/>
    <w:rsid w:val="004A47F3"/>
    <w:rsid w:val="004A4E89"/>
    <w:rsid w:val="004A4FFB"/>
    <w:rsid w:val="004A506C"/>
    <w:rsid w:val="004A570A"/>
    <w:rsid w:val="004A57AD"/>
    <w:rsid w:val="004A5928"/>
    <w:rsid w:val="004A5E0B"/>
    <w:rsid w:val="004A5FBA"/>
    <w:rsid w:val="004A611B"/>
    <w:rsid w:val="004A66F3"/>
    <w:rsid w:val="004A6710"/>
    <w:rsid w:val="004A6C93"/>
    <w:rsid w:val="004A709A"/>
    <w:rsid w:val="004A7145"/>
    <w:rsid w:val="004A7604"/>
    <w:rsid w:val="004A7770"/>
    <w:rsid w:val="004A7821"/>
    <w:rsid w:val="004A7A65"/>
    <w:rsid w:val="004A7AB3"/>
    <w:rsid w:val="004A7AC3"/>
    <w:rsid w:val="004B0723"/>
    <w:rsid w:val="004B072A"/>
    <w:rsid w:val="004B0F60"/>
    <w:rsid w:val="004B0FAE"/>
    <w:rsid w:val="004B1264"/>
    <w:rsid w:val="004B15BA"/>
    <w:rsid w:val="004B1630"/>
    <w:rsid w:val="004B176C"/>
    <w:rsid w:val="004B1A2D"/>
    <w:rsid w:val="004B1B11"/>
    <w:rsid w:val="004B1BE9"/>
    <w:rsid w:val="004B1C78"/>
    <w:rsid w:val="004B1DEB"/>
    <w:rsid w:val="004B271B"/>
    <w:rsid w:val="004B2FBD"/>
    <w:rsid w:val="004B3440"/>
    <w:rsid w:val="004B3604"/>
    <w:rsid w:val="004B3779"/>
    <w:rsid w:val="004B384F"/>
    <w:rsid w:val="004B3BA6"/>
    <w:rsid w:val="004B3F05"/>
    <w:rsid w:val="004B3F28"/>
    <w:rsid w:val="004B4276"/>
    <w:rsid w:val="004B49BC"/>
    <w:rsid w:val="004B4BB8"/>
    <w:rsid w:val="004B4C55"/>
    <w:rsid w:val="004B4C82"/>
    <w:rsid w:val="004B4FB9"/>
    <w:rsid w:val="004B514C"/>
    <w:rsid w:val="004B557A"/>
    <w:rsid w:val="004B562C"/>
    <w:rsid w:val="004B56F7"/>
    <w:rsid w:val="004B58B5"/>
    <w:rsid w:val="004B5A12"/>
    <w:rsid w:val="004B5A3E"/>
    <w:rsid w:val="004B5B52"/>
    <w:rsid w:val="004B5D70"/>
    <w:rsid w:val="004B5D75"/>
    <w:rsid w:val="004B6145"/>
    <w:rsid w:val="004B623D"/>
    <w:rsid w:val="004B661A"/>
    <w:rsid w:val="004B68DD"/>
    <w:rsid w:val="004B6947"/>
    <w:rsid w:val="004B696B"/>
    <w:rsid w:val="004B6C82"/>
    <w:rsid w:val="004B6D5C"/>
    <w:rsid w:val="004B6EE4"/>
    <w:rsid w:val="004B7064"/>
    <w:rsid w:val="004B7090"/>
    <w:rsid w:val="004B7130"/>
    <w:rsid w:val="004B73EA"/>
    <w:rsid w:val="004B75A3"/>
    <w:rsid w:val="004B779B"/>
    <w:rsid w:val="004B78D2"/>
    <w:rsid w:val="004B79FC"/>
    <w:rsid w:val="004B7D5C"/>
    <w:rsid w:val="004C01F2"/>
    <w:rsid w:val="004C08F6"/>
    <w:rsid w:val="004C092D"/>
    <w:rsid w:val="004C0A1B"/>
    <w:rsid w:val="004C106A"/>
    <w:rsid w:val="004C1213"/>
    <w:rsid w:val="004C132C"/>
    <w:rsid w:val="004C13AF"/>
    <w:rsid w:val="004C14DC"/>
    <w:rsid w:val="004C150D"/>
    <w:rsid w:val="004C1686"/>
    <w:rsid w:val="004C16A0"/>
    <w:rsid w:val="004C16A9"/>
    <w:rsid w:val="004C1E91"/>
    <w:rsid w:val="004C1EEF"/>
    <w:rsid w:val="004C210C"/>
    <w:rsid w:val="004C2151"/>
    <w:rsid w:val="004C21D6"/>
    <w:rsid w:val="004C234A"/>
    <w:rsid w:val="004C2763"/>
    <w:rsid w:val="004C294F"/>
    <w:rsid w:val="004C2B14"/>
    <w:rsid w:val="004C2B38"/>
    <w:rsid w:val="004C2C68"/>
    <w:rsid w:val="004C2CDA"/>
    <w:rsid w:val="004C31FC"/>
    <w:rsid w:val="004C337F"/>
    <w:rsid w:val="004C349B"/>
    <w:rsid w:val="004C3F28"/>
    <w:rsid w:val="004C49C7"/>
    <w:rsid w:val="004C4A98"/>
    <w:rsid w:val="004C4CB1"/>
    <w:rsid w:val="004C4D13"/>
    <w:rsid w:val="004C4EB2"/>
    <w:rsid w:val="004C51CA"/>
    <w:rsid w:val="004C5268"/>
    <w:rsid w:val="004C5589"/>
    <w:rsid w:val="004C55D7"/>
    <w:rsid w:val="004C5702"/>
    <w:rsid w:val="004C5C87"/>
    <w:rsid w:val="004C5D22"/>
    <w:rsid w:val="004C5D65"/>
    <w:rsid w:val="004C5F72"/>
    <w:rsid w:val="004C609A"/>
    <w:rsid w:val="004C626E"/>
    <w:rsid w:val="004C6758"/>
    <w:rsid w:val="004C689B"/>
    <w:rsid w:val="004C68B1"/>
    <w:rsid w:val="004C6A28"/>
    <w:rsid w:val="004C6E0E"/>
    <w:rsid w:val="004C6EC9"/>
    <w:rsid w:val="004C7070"/>
    <w:rsid w:val="004C7092"/>
    <w:rsid w:val="004C7356"/>
    <w:rsid w:val="004C7711"/>
    <w:rsid w:val="004C77A3"/>
    <w:rsid w:val="004C7B46"/>
    <w:rsid w:val="004C7CE1"/>
    <w:rsid w:val="004D0089"/>
    <w:rsid w:val="004D0370"/>
    <w:rsid w:val="004D03B2"/>
    <w:rsid w:val="004D06E9"/>
    <w:rsid w:val="004D07E7"/>
    <w:rsid w:val="004D0BA1"/>
    <w:rsid w:val="004D0CF0"/>
    <w:rsid w:val="004D0E97"/>
    <w:rsid w:val="004D1009"/>
    <w:rsid w:val="004D1281"/>
    <w:rsid w:val="004D13FD"/>
    <w:rsid w:val="004D1854"/>
    <w:rsid w:val="004D19B5"/>
    <w:rsid w:val="004D1E1E"/>
    <w:rsid w:val="004D1E25"/>
    <w:rsid w:val="004D2443"/>
    <w:rsid w:val="004D266A"/>
    <w:rsid w:val="004D2858"/>
    <w:rsid w:val="004D288E"/>
    <w:rsid w:val="004D28FF"/>
    <w:rsid w:val="004D29B0"/>
    <w:rsid w:val="004D2C9B"/>
    <w:rsid w:val="004D2ECA"/>
    <w:rsid w:val="004D2EEA"/>
    <w:rsid w:val="004D2F1C"/>
    <w:rsid w:val="004D3024"/>
    <w:rsid w:val="004D3256"/>
    <w:rsid w:val="004D32B5"/>
    <w:rsid w:val="004D352D"/>
    <w:rsid w:val="004D35AE"/>
    <w:rsid w:val="004D36F1"/>
    <w:rsid w:val="004D3D1C"/>
    <w:rsid w:val="004D3DAD"/>
    <w:rsid w:val="004D3FF2"/>
    <w:rsid w:val="004D40BA"/>
    <w:rsid w:val="004D4677"/>
    <w:rsid w:val="004D4F44"/>
    <w:rsid w:val="004D5175"/>
    <w:rsid w:val="004D52CE"/>
    <w:rsid w:val="004D53A0"/>
    <w:rsid w:val="004D5705"/>
    <w:rsid w:val="004D5714"/>
    <w:rsid w:val="004D58EB"/>
    <w:rsid w:val="004D5EBB"/>
    <w:rsid w:val="004D6026"/>
    <w:rsid w:val="004D60F6"/>
    <w:rsid w:val="004D67EF"/>
    <w:rsid w:val="004D69F8"/>
    <w:rsid w:val="004D7244"/>
    <w:rsid w:val="004D756A"/>
    <w:rsid w:val="004D756B"/>
    <w:rsid w:val="004D7710"/>
    <w:rsid w:val="004D778A"/>
    <w:rsid w:val="004D77AC"/>
    <w:rsid w:val="004D794A"/>
    <w:rsid w:val="004D798E"/>
    <w:rsid w:val="004D79EF"/>
    <w:rsid w:val="004D7A45"/>
    <w:rsid w:val="004D7A52"/>
    <w:rsid w:val="004D7AFD"/>
    <w:rsid w:val="004D7CEE"/>
    <w:rsid w:val="004D7D29"/>
    <w:rsid w:val="004E0033"/>
    <w:rsid w:val="004E013E"/>
    <w:rsid w:val="004E014B"/>
    <w:rsid w:val="004E023F"/>
    <w:rsid w:val="004E0418"/>
    <w:rsid w:val="004E04CB"/>
    <w:rsid w:val="004E0619"/>
    <w:rsid w:val="004E0C95"/>
    <w:rsid w:val="004E0CA9"/>
    <w:rsid w:val="004E0D92"/>
    <w:rsid w:val="004E1132"/>
    <w:rsid w:val="004E12FF"/>
    <w:rsid w:val="004E1488"/>
    <w:rsid w:val="004E1643"/>
    <w:rsid w:val="004E16FB"/>
    <w:rsid w:val="004E1902"/>
    <w:rsid w:val="004E1978"/>
    <w:rsid w:val="004E1A66"/>
    <w:rsid w:val="004E1D39"/>
    <w:rsid w:val="004E1F94"/>
    <w:rsid w:val="004E239D"/>
    <w:rsid w:val="004E2653"/>
    <w:rsid w:val="004E2685"/>
    <w:rsid w:val="004E2A0F"/>
    <w:rsid w:val="004E2A3D"/>
    <w:rsid w:val="004E2BAB"/>
    <w:rsid w:val="004E2C89"/>
    <w:rsid w:val="004E2E9C"/>
    <w:rsid w:val="004E2FDD"/>
    <w:rsid w:val="004E34D5"/>
    <w:rsid w:val="004E37B3"/>
    <w:rsid w:val="004E3A9D"/>
    <w:rsid w:val="004E3B2E"/>
    <w:rsid w:val="004E4098"/>
    <w:rsid w:val="004E4305"/>
    <w:rsid w:val="004E4479"/>
    <w:rsid w:val="004E448A"/>
    <w:rsid w:val="004E4617"/>
    <w:rsid w:val="004E482F"/>
    <w:rsid w:val="004E4857"/>
    <w:rsid w:val="004E4E9D"/>
    <w:rsid w:val="004E4EAA"/>
    <w:rsid w:val="004E4FE3"/>
    <w:rsid w:val="004E521F"/>
    <w:rsid w:val="004E53CF"/>
    <w:rsid w:val="004E5539"/>
    <w:rsid w:val="004E5ACE"/>
    <w:rsid w:val="004E5BCD"/>
    <w:rsid w:val="004E5BD8"/>
    <w:rsid w:val="004E5E2F"/>
    <w:rsid w:val="004E5EC4"/>
    <w:rsid w:val="004E60B8"/>
    <w:rsid w:val="004E623E"/>
    <w:rsid w:val="004E62A3"/>
    <w:rsid w:val="004E66FA"/>
    <w:rsid w:val="004E68D0"/>
    <w:rsid w:val="004E68FD"/>
    <w:rsid w:val="004E69A3"/>
    <w:rsid w:val="004E6A17"/>
    <w:rsid w:val="004E6A62"/>
    <w:rsid w:val="004E6B58"/>
    <w:rsid w:val="004E6B67"/>
    <w:rsid w:val="004E7073"/>
    <w:rsid w:val="004E7126"/>
    <w:rsid w:val="004E74C2"/>
    <w:rsid w:val="004E77CD"/>
    <w:rsid w:val="004E7BB3"/>
    <w:rsid w:val="004F02EF"/>
    <w:rsid w:val="004F03C8"/>
    <w:rsid w:val="004F04BE"/>
    <w:rsid w:val="004F0ADB"/>
    <w:rsid w:val="004F0BAA"/>
    <w:rsid w:val="004F0CA6"/>
    <w:rsid w:val="004F0D46"/>
    <w:rsid w:val="004F0E7C"/>
    <w:rsid w:val="004F0E9A"/>
    <w:rsid w:val="004F0F09"/>
    <w:rsid w:val="004F106A"/>
    <w:rsid w:val="004F1A20"/>
    <w:rsid w:val="004F1DA9"/>
    <w:rsid w:val="004F2039"/>
    <w:rsid w:val="004F2187"/>
    <w:rsid w:val="004F21BD"/>
    <w:rsid w:val="004F21E0"/>
    <w:rsid w:val="004F259B"/>
    <w:rsid w:val="004F25BA"/>
    <w:rsid w:val="004F2640"/>
    <w:rsid w:val="004F271B"/>
    <w:rsid w:val="004F2726"/>
    <w:rsid w:val="004F288A"/>
    <w:rsid w:val="004F2BB5"/>
    <w:rsid w:val="004F3229"/>
    <w:rsid w:val="004F364B"/>
    <w:rsid w:val="004F3C2F"/>
    <w:rsid w:val="004F41A2"/>
    <w:rsid w:val="004F468E"/>
    <w:rsid w:val="004F4AEF"/>
    <w:rsid w:val="004F4E2C"/>
    <w:rsid w:val="004F4FBB"/>
    <w:rsid w:val="004F54E1"/>
    <w:rsid w:val="004F5B2D"/>
    <w:rsid w:val="004F5BBC"/>
    <w:rsid w:val="004F5EAF"/>
    <w:rsid w:val="004F5EC7"/>
    <w:rsid w:val="004F5ED9"/>
    <w:rsid w:val="004F6710"/>
    <w:rsid w:val="004F68B5"/>
    <w:rsid w:val="004F6A51"/>
    <w:rsid w:val="004F6B13"/>
    <w:rsid w:val="004F6D34"/>
    <w:rsid w:val="004F7431"/>
    <w:rsid w:val="004F7A54"/>
    <w:rsid w:val="004F7CDA"/>
    <w:rsid w:val="00500449"/>
    <w:rsid w:val="005004B8"/>
    <w:rsid w:val="0050067D"/>
    <w:rsid w:val="005006AF"/>
    <w:rsid w:val="005008DD"/>
    <w:rsid w:val="00500B2C"/>
    <w:rsid w:val="00500F54"/>
    <w:rsid w:val="005012B4"/>
    <w:rsid w:val="0050136F"/>
    <w:rsid w:val="0050144B"/>
    <w:rsid w:val="005015FC"/>
    <w:rsid w:val="00501602"/>
    <w:rsid w:val="005016E5"/>
    <w:rsid w:val="00501814"/>
    <w:rsid w:val="005018B3"/>
    <w:rsid w:val="0050197A"/>
    <w:rsid w:val="0050214E"/>
    <w:rsid w:val="0050220F"/>
    <w:rsid w:val="0050237B"/>
    <w:rsid w:val="0050287A"/>
    <w:rsid w:val="00502B3B"/>
    <w:rsid w:val="0050311D"/>
    <w:rsid w:val="005033A7"/>
    <w:rsid w:val="005039FF"/>
    <w:rsid w:val="00503AC9"/>
    <w:rsid w:val="00503B37"/>
    <w:rsid w:val="00503C95"/>
    <w:rsid w:val="00504032"/>
    <w:rsid w:val="005040DD"/>
    <w:rsid w:val="005044A8"/>
    <w:rsid w:val="00504555"/>
    <w:rsid w:val="0050462C"/>
    <w:rsid w:val="00504787"/>
    <w:rsid w:val="00504A9D"/>
    <w:rsid w:val="00505635"/>
    <w:rsid w:val="00505644"/>
    <w:rsid w:val="0050568B"/>
    <w:rsid w:val="0050571A"/>
    <w:rsid w:val="00505810"/>
    <w:rsid w:val="00505943"/>
    <w:rsid w:val="00505B5A"/>
    <w:rsid w:val="00505C43"/>
    <w:rsid w:val="00505F94"/>
    <w:rsid w:val="005061B3"/>
    <w:rsid w:val="005062AF"/>
    <w:rsid w:val="005063D0"/>
    <w:rsid w:val="00506820"/>
    <w:rsid w:val="005068B3"/>
    <w:rsid w:val="00506D18"/>
    <w:rsid w:val="00506E5D"/>
    <w:rsid w:val="00507A97"/>
    <w:rsid w:val="00507B54"/>
    <w:rsid w:val="00507C20"/>
    <w:rsid w:val="00507D6F"/>
    <w:rsid w:val="00507E05"/>
    <w:rsid w:val="00507F39"/>
    <w:rsid w:val="0051056E"/>
    <w:rsid w:val="00510779"/>
    <w:rsid w:val="00510D5E"/>
    <w:rsid w:val="0051100C"/>
    <w:rsid w:val="00511057"/>
    <w:rsid w:val="00511421"/>
    <w:rsid w:val="0051187F"/>
    <w:rsid w:val="00512022"/>
    <w:rsid w:val="00512376"/>
    <w:rsid w:val="00512418"/>
    <w:rsid w:val="0051244C"/>
    <w:rsid w:val="005128C9"/>
    <w:rsid w:val="00512BCA"/>
    <w:rsid w:val="00512D63"/>
    <w:rsid w:val="00512DCC"/>
    <w:rsid w:val="00512F8D"/>
    <w:rsid w:val="005130A8"/>
    <w:rsid w:val="005132F6"/>
    <w:rsid w:val="00513320"/>
    <w:rsid w:val="005134AE"/>
    <w:rsid w:val="0051373A"/>
    <w:rsid w:val="00513899"/>
    <w:rsid w:val="00513B3D"/>
    <w:rsid w:val="00513D30"/>
    <w:rsid w:val="00513E7A"/>
    <w:rsid w:val="00513F57"/>
    <w:rsid w:val="00514000"/>
    <w:rsid w:val="00514077"/>
    <w:rsid w:val="005140C1"/>
    <w:rsid w:val="00514173"/>
    <w:rsid w:val="0051434B"/>
    <w:rsid w:val="00514602"/>
    <w:rsid w:val="0051493D"/>
    <w:rsid w:val="00514C51"/>
    <w:rsid w:val="00514D68"/>
    <w:rsid w:val="00514E00"/>
    <w:rsid w:val="005154BF"/>
    <w:rsid w:val="00515603"/>
    <w:rsid w:val="00515713"/>
    <w:rsid w:val="0051571F"/>
    <w:rsid w:val="005158FE"/>
    <w:rsid w:val="00515B6B"/>
    <w:rsid w:val="00515C0F"/>
    <w:rsid w:val="00515D58"/>
    <w:rsid w:val="0051607D"/>
    <w:rsid w:val="005160FC"/>
    <w:rsid w:val="00516609"/>
    <w:rsid w:val="00516707"/>
    <w:rsid w:val="005168A5"/>
    <w:rsid w:val="00516B72"/>
    <w:rsid w:val="00516BFF"/>
    <w:rsid w:val="00516C41"/>
    <w:rsid w:val="00516D6B"/>
    <w:rsid w:val="005171D7"/>
    <w:rsid w:val="005171F8"/>
    <w:rsid w:val="00517268"/>
    <w:rsid w:val="0051731C"/>
    <w:rsid w:val="00517464"/>
    <w:rsid w:val="005175BC"/>
    <w:rsid w:val="0051797D"/>
    <w:rsid w:val="00517A3C"/>
    <w:rsid w:val="00517D08"/>
    <w:rsid w:val="00517DFB"/>
    <w:rsid w:val="00520075"/>
    <w:rsid w:val="0052008A"/>
    <w:rsid w:val="005206BE"/>
    <w:rsid w:val="005207FD"/>
    <w:rsid w:val="00520861"/>
    <w:rsid w:val="00520C56"/>
    <w:rsid w:val="00520F5B"/>
    <w:rsid w:val="0052111B"/>
    <w:rsid w:val="00521143"/>
    <w:rsid w:val="00521669"/>
    <w:rsid w:val="0052184E"/>
    <w:rsid w:val="00521D90"/>
    <w:rsid w:val="0052242D"/>
    <w:rsid w:val="0052252D"/>
    <w:rsid w:val="005225BB"/>
    <w:rsid w:val="005225E0"/>
    <w:rsid w:val="005227C0"/>
    <w:rsid w:val="00522F52"/>
    <w:rsid w:val="005230AC"/>
    <w:rsid w:val="00523167"/>
    <w:rsid w:val="005232D2"/>
    <w:rsid w:val="00523437"/>
    <w:rsid w:val="00523709"/>
    <w:rsid w:val="0052371E"/>
    <w:rsid w:val="00523938"/>
    <w:rsid w:val="00523B9E"/>
    <w:rsid w:val="00523E00"/>
    <w:rsid w:val="00523E20"/>
    <w:rsid w:val="00524119"/>
    <w:rsid w:val="005243C4"/>
    <w:rsid w:val="00524418"/>
    <w:rsid w:val="0052447F"/>
    <w:rsid w:val="0052509E"/>
    <w:rsid w:val="005251CF"/>
    <w:rsid w:val="0052579C"/>
    <w:rsid w:val="00525849"/>
    <w:rsid w:val="0052603C"/>
    <w:rsid w:val="00526149"/>
    <w:rsid w:val="0052634D"/>
    <w:rsid w:val="00526368"/>
    <w:rsid w:val="00526461"/>
    <w:rsid w:val="00526A25"/>
    <w:rsid w:val="00526BB2"/>
    <w:rsid w:val="00526EEC"/>
    <w:rsid w:val="00526F1D"/>
    <w:rsid w:val="00527376"/>
    <w:rsid w:val="00527697"/>
    <w:rsid w:val="005277D7"/>
    <w:rsid w:val="00527A61"/>
    <w:rsid w:val="00527A9E"/>
    <w:rsid w:val="00527D16"/>
    <w:rsid w:val="0053020D"/>
    <w:rsid w:val="00530388"/>
    <w:rsid w:val="005303D9"/>
    <w:rsid w:val="0053074D"/>
    <w:rsid w:val="00530991"/>
    <w:rsid w:val="00530E6C"/>
    <w:rsid w:val="00530E8F"/>
    <w:rsid w:val="00530F9F"/>
    <w:rsid w:val="00531C67"/>
    <w:rsid w:val="00531C7C"/>
    <w:rsid w:val="005321C1"/>
    <w:rsid w:val="005327D2"/>
    <w:rsid w:val="00532A86"/>
    <w:rsid w:val="005334D9"/>
    <w:rsid w:val="00533508"/>
    <w:rsid w:val="0053362A"/>
    <w:rsid w:val="005337F9"/>
    <w:rsid w:val="0053383C"/>
    <w:rsid w:val="00533A85"/>
    <w:rsid w:val="00533E79"/>
    <w:rsid w:val="005340DB"/>
    <w:rsid w:val="005340F2"/>
    <w:rsid w:val="005342AC"/>
    <w:rsid w:val="00534729"/>
    <w:rsid w:val="00534811"/>
    <w:rsid w:val="005349CD"/>
    <w:rsid w:val="00534AB6"/>
    <w:rsid w:val="00534D44"/>
    <w:rsid w:val="00534FB2"/>
    <w:rsid w:val="00535080"/>
    <w:rsid w:val="00535310"/>
    <w:rsid w:val="0053565C"/>
    <w:rsid w:val="005357EE"/>
    <w:rsid w:val="00535837"/>
    <w:rsid w:val="00535898"/>
    <w:rsid w:val="005358D2"/>
    <w:rsid w:val="00535E3D"/>
    <w:rsid w:val="00536255"/>
    <w:rsid w:val="00536400"/>
    <w:rsid w:val="0053659F"/>
    <w:rsid w:val="00536DC0"/>
    <w:rsid w:val="00536EF3"/>
    <w:rsid w:val="0053721B"/>
    <w:rsid w:val="005373F9"/>
    <w:rsid w:val="005374F2"/>
    <w:rsid w:val="00537529"/>
    <w:rsid w:val="0053766E"/>
    <w:rsid w:val="00537920"/>
    <w:rsid w:val="00537AC9"/>
    <w:rsid w:val="00537D0A"/>
    <w:rsid w:val="00537F37"/>
    <w:rsid w:val="00540303"/>
    <w:rsid w:val="0054037E"/>
    <w:rsid w:val="00540758"/>
    <w:rsid w:val="00540EA4"/>
    <w:rsid w:val="005412DD"/>
    <w:rsid w:val="0054149B"/>
    <w:rsid w:val="00541A57"/>
    <w:rsid w:val="00541B6C"/>
    <w:rsid w:val="00541BC2"/>
    <w:rsid w:val="00541ED1"/>
    <w:rsid w:val="00542082"/>
    <w:rsid w:val="005423A2"/>
    <w:rsid w:val="005428AD"/>
    <w:rsid w:val="00542C45"/>
    <w:rsid w:val="00542D64"/>
    <w:rsid w:val="00542E99"/>
    <w:rsid w:val="005432D8"/>
    <w:rsid w:val="0054353C"/>
    <w:rsid w:val="005435BC"/>
    <w:rsid w:val="00544007"/>
    <w:rsid w:val="005444FA"/>
    <w:rsid w:val="005449CD"/>
    <w:rsid w:val="00544AC5"/>
    <w:rsid w:val="00544EAD"/>
    <w:rsid w:val="00544EB0"/>
    <w:rsid w:val="005451EA"/>
    <w:rsid w:val="00545268"/>
    <w:rsid w:val="0054559C"/>
    <w:rsid w:val="00545847"/>
    <w:rsid w:val="00545A27"/>
    <w:rsid w:val="00545BF7"/>
    <w:rsid w:val="00545C09"/>
    <w:rsid w:val="00545DC4"/>
    <w:rsid w:val="00545EE9"/>
    <w:rsid w:val="005462F9"/>
    <w:rsid w:val="00546580"/>
    <w:rsid w:val="00546709"/>
    <w:rsid w:val="005467CE"/>
    <w:rsid w:val="00546B0F"/>
    <w:rsid w:val="00546D1A"/>
    <w:rsid w:val="0054724C"/>
    <w:rsid w:val="00547377"/>
    <w:rsid w:val="00547C49"/>
    <w:rsid w:val="00547E05"/>
    <w:rsid w:val="005500CC"/>
    <w:rsid w:val="0055033D"/>
    <w:rsid w:val="00550578"/>
    <w:rsid w:val="00550735"/>
    <w:rsid w:val="0055089A"/>
    <w:rsid w:val="00550A5E"/>
    <w:rsid w:val="00550B9D"/>
    <w:rsid w:val="00550BF4"/>
    <w:rsid w:val="00550DF0"/>
    <w:rsid w:val="005511B6"/>
    <w:rsid w:val="005513CC"/>
    <w:rsid w:val="00551EA2"/>
    <w:rsid w:val="005525C8"/>
    <w:rsid w:val="00552BD1"/>
    <w:rsid w:val="005530C3"/>
    <w:rsid w:val="0055329A"/>
    <w:rsid w:val="005538BB"/>
    <w:rsid w:val="005538FA"/>
    <w:rsid w:val="0055397E"/>
    <w:rsid w:val="00553CBA"/>
    <w:rsid w:val="00553E0F"/>
    <w:rsid w:val="00553E8C"/>
    <w:rsid w:val="0055433C"/>
    <w:rsid w:val="005546A8"/>
    <w:rsid w:val="00554A25"/>
    <w:rsid w:val="00554A27"/>
    <w:rsid w:val="00554A64"/>
    <w:rsid w:val="00554ACB"/>
    <w:rsid w:val="00555771"/>
    <w:rsid w:val="00555799"/>
    <w:rsid w:val="00555836"/>
    <w:rsid w:val="0055585B"/>
    <w:rsid w:val="0055590E"/>
    <w:rsid w:val="00555F79"/>
    <w:rsid w:val="0055612C"/>
    <w:rsid w:val="00556170"/>
    <w:rsid w:val="005567CF"/>
    <w:rsid w:val="00556BD1"/>
    <w:rsid w:val="00556C63"/>
    <w:rsid w:val="00556F6B"/>
    <w:rsid w:val="00556FC2"/>
    <w:rsid w:val="005574A2"/>
    <w:rsid w:val="00557725"/>
    <w:rsid w:val="0055779A"/>
    <w:rsid w:val="005577FC"/>
    <w:rsid w:val="005579A6"/>
    <w:rsid w:val="00557CC1"/>
    <w:rsid w:val="00557D68"/>
    <w:rsid w:val="00560288"/>
    <w:rsid w:val="005602C2"/>
    <w:rsid w:val="00560328"/>
    <w:rsid w:val="005603E4"/>
    <w:rsid w:val="005604AC"/>
    <w:rsid w:val="00560551"/>
    <w:rsid w:val="005605BF"/>
    <w:rsid w:val="0056064F"/>
    <w:rsid w:val="00560889"/>
    <w:rsid w:val="00560938"/>
    <w:rsid w:val="00560A5A"/>
    <w:rsid w:val="00560D06"/>
    <w:rsid w:val="00560D27"/>
    <w:rsid w:val="00560F48"/>
    <w:rsid w:val="00560FAC"/>
    <w:rsid w:val="00561014"/>
    <w:rsid w:val="00561416"/>
    <w:rsid w:val="0056148A"/>
    <w:rsid w:val="00561769"/>
    <w:rsid w:val="00561A3E"/>
    <w:rsid w:val="00561FA1"/>
    <w:rsid w:val="005620CD"/>
    <w:rsid w:val="0056219C"/>
    <w:rsid w:val="005621BF"/>
    <w:rsid w:val="005624AF"/>
    <w:rsid w:val="005625E4"/>
    <w:rsid w:val="005628A3"/>
    <w:rsid w:val="00562EA7"/>
    <w:rsid w:val="00562F65"/>
    <w:rsid w:val="0056304D"/>
    <w:rsid w:val="00563127"/>
    <w:rsid w:val="00563174"/>
    <w:rsid w:val="005631BE"/>
    <w:rsid w:val="0056335B"/>
    <w:rsid w:val="00563853"/>
    <w:rsid w:val="00563883"/>
    <w:rsid w:val="005638BC"/>
    <w:rsid w:val="005640B7"/>
    <w:rsid w:val="00564175"/>
    <w:rsid w:val="005649A9"/>
    <w:rsid w:val="005649C8"/>
    <w:rsid w:val="00564A0F"/>
    <w:rsid w:val="00564F83"/>
    <w:rsid w:val="005652E7"/>
    <w:rsid w:val="0056552A"/>
    <w:rsid w:val="00565A54"/>
    <w:rsid w:val="00565B54"/>
    <w:rsid w:val="00565CAB"/>
    <w:rsid w:val="00566461"/>
    <w:rsid w:val="0056646D"/>
    <w:rsid w:val="005664D5"/>
    <w:rsid w:val="00566558"/>
    <w:rsid w:val="00566807"/>
    <w:rsid w:val="00566AF5"/>
    <w:rsid w:val="00566D7F"/>
    <w:rsid w:val="00567285"/>
    <w:rsid w:val="005674B2"/>
    <w:rsid w:val="00567E67"/>
    <w:rsid w:val="00567E70"/>
    <w:rsid w:val="00567F38"/>
    <w:rsid w:val="005700EA"/>
    <w:rsid w:val="005702E3"/>
    <w:rsid w:val="00570326"/>
    <w:rsid w:val="005704A3"/>
    <w:rsid w:val="005705C2"/>
    <w:rsid w:val="00570A57"/>
    <w:rsid w:val="00570C9A"/>
    <w:rsid w:val="00570EE5"/>
    <w:rsid w:val="0057117D"/>
    <w:rsid w:val="005714C6"/>
    <w:rsid w:val="00571C1E"/>
    <w:rsid w:val="00571C80"/>
    <w:rsid w:val="0057225A"/>
    <w:rsid w:val="0057226D"/>
    <w:rsid w:val="005723A5"/>
    <w:rsid w:val="00572865"/>
    <w:rsid w:val="0057297C"/>
    <w:rsid w:val="00572B94"/>
    <w:rsid w:val="00572C41"/>
    <w:rsid w:val="00572DBD"/>
    <w:rsid w:val="00572DF0"/>
    <w:rsid w:val="0057301C"/>
    <w:rsid w:val="00573849"/>
    <w:rsid w:val="00573C25"/>
    <w:rsid w:val="00573CF7"/>
    <w:rsid w:val="00574031"/>
    <w:rsid w:val="00574162"/>
    <w:rsid w:val="00574715"/>
    <w:rsid w:val="00574736"/>
    <w:rsid w:val="00574B25"/>
    <w:rsid w:val="00574B7A"/>
    <w:rsid w:val="00574CA8"/>
    <w:rsid w:val="00575176"/>
    <w:rsid w:val="005753EA"/>
    <w:rsid w:val="005754F4"/>
    <w:rsid w:val="0057575E"/>
    <w:rsid w:val="005757CE"/>
    <w:rsid w:val="0057595B"/>
    <w:rsid w:val="00575BFD"/>
    <w:rsid w:val="00575D1F"/>
    <w:rsid w:val="00575D75"/>
    <w:rsid w:val="00576351"/>
    <w:rsid w:val="00576523"/>
    <w:rsid w:val="0057673A"/>
    <w:rsid w:val="00576B99"/>
    <w:rsid w:val="00576DAF"/>
    <w:rsid w:val="00576DE8"/>
    <w:rsid w:val="00576E08"/>
    <w:rsid w:val="00576E25"/>
    <w:rsid w:val="00576E81"/>
    <w:rsid w:val="0057733A"/>
    <w:rsid w:val="005774EA"/>
    <w:rsid w:val="00577A27"/>
    <w:rsid w:val="00577FC5"/>
    <w:rsid w:val="005801FA"/>
    <w:rsid w:val="00580615"/>
    <w:rsid w:val="005808B0"/>
    <w:rsid w:val="00580B33"/>
    <w:rsid w:val="00580BD6"/>
    <w:rsid w:val="00580C77"/>
    <w:rsid w:val="00580FA4"/>
    <w:rsid w:val="00580FBF"/>
    <w:rsid w:val="00581103"/>
    <w:rsid w:val="00581233"/>
    <w:rsid w:val="00581454"/>
    <w:rsid w:val="00581855"/>
    <w:rsid w:val="00581903"/>
    <w:rsid w:val="00581973"/>
    <w:rsid w:val="00581A05"/>
    <w:rsid w:val="0058208F"/>
    <w:rsid w:val="0058216E"/>
    <w:rsid w:val="0058236D"/>
    <w:rsid w:val="005823DC"/>
    <w:rsid w:val="0058249A"/>
    <w:rsid w:val="00582764"/>
    <w:rsid w:val="005827A6"/>
    <w:rsid w:val="00582B8C"/>
    <w:rsid w:val="00582EEE"/>
    <w:rsid w:val="00582EEF"/>
    <w:rsid w:val="00583046"/>
    <w:rsid w:val="00583165"/>
    <w:rsid w:val="00583596"/>
    <w:rsid w:val="0058360B"/>
    <w:rsid w:val="0058376C"/>
    <w:rsid w:val="00583CC4"/>
    <w:rsid w:val="00583E7C"/>
    <w:rsid w:val="00584029"/>
    <w:rsid w:val="005840E3"/>
    <w:rsid w:val="0058445D"/>
    <w:rsid w:val="005844B1"/>
    <w:rsid w:val="00584521"/>
    <w:rsid w:val="00584839"/>
    <w:rsid w:val="00584975"/>
    <w:rsid w:val="00584A8B"/>
    <w:rsid w:val="00584B81"/>
    <w:rsid w:val="00584BE8"/>
    <w:rsid w:val="00584F10"/>
    <w:rsid w:val="0058505C"/>
    <w:rsid w:val="005850DA"/>
    <w:rsid w:val="00585274"/>
    <w:rsid w:val="0058567D"/>
    <w:rsid w:val="00585721"/>
    <w:rsid w:val="00585739"/>
    <w:rsid w:val="00585928"/>
    <w:rsid w:val="00585C42"/>
    <w:rsid w:val="00585C74"/>
    <w:rsid w:val="00585CA2"/>
    <w:rsid w:val="00585E8B"/>
    <w:rsid w:val="00586082"/>
    <w:rsid w:val="0058631C"/>
    <w:rsid w:val="0058668A"/>
    <w:rsid w:val="00586CF1"/>
    <w:rsid w:val="00586D68"/>
    <w:rsid w:val="0058736F"/>
    <w:rsid w:val="00587759"/>
    <w:rsid w:val="00587B59"/>
    <w:rsid w:val="00587B8A"/>
    <w:rsid w:val="00587F8D"/>
    <w:rsid w:val="00590224"/>
    <w:rsid w:val="005904FB"/>
    <w:rsid w:val="005906BB"/>
    <w:rsid w:val="005906BE"/>
    <w:rsid w:val="00590874"/>
    <w:rsid w:val="00590CDD"/>
    <w:rsid w:val="00590D56"/>
    <w:rsid w:val="005910FD"/>
    <w:rsid w:val="005911B1"/>
    <w:rsid w:val="005911D8"/>
    <w:rsid w:val="005911F5"/>
    <w:rsid w:val="00591388"/>
    <w:rsid w:val="005915D2"/>
    <w:rsid w:val="005915E6"/>
    <w:rsid w:val="00591649"/>
    <w:rsid w:val="00591BC0"/>
    <w:rsid w:val="00591CBB"/>
    <w:rsid w:val="00591CFB"/>
    <w:rsid w:val="00591D0D"/>
    <w:rsid w:val="005921C8"/>
    <w:rsid w:val="00592205"/>
    <w:rsid w:val="005923F3"/>
    <w:rsid w:val="00592548"/>
    <w:rsid w:val="00592926"/>
    <w:rsid w:val="005929C2"/>
    <w:rsid w:val="00592B21"/>
    <w:rsid w:val="00592C04"/>
    <w:rsid w:val="00592C31"/>
    <w:rsid w:val="00593020"/>
    <w:rsid w:val="00593065"/>
    <w:rsid w:val="005930D3"/>
    <w:rsid w:val="00593254"/>
    <w:rsid w:val="005938A4"/>
    <w:rsid w:val="00593F4A"/>
    <w:rsid w:val="00593FF2"/>
    <w:rsid w:val="0059446F"/>
    <w:rsid w:val="00594A3A"/>
    <w:rsid w:val="00594A9E"/>
    <w:rsid w:val="00594E9D"/>
    <w:rsid w:val="00594FD4"/>
    <w:rsid w:val="005957D3"/>
    <w:rsid w:val="005958D5"/>
    <w:rsid w:val="005958E7"/>
    <w:rsid w:val="00595ADA"/>
    <w:rsid w:val="00595EE8"/>
    <w:rsid w:val="00595F30"/>
    <w:rsid w:val="00596068"/>
    <w:rsid w:val="0059650F"/>
    <w:rsid w:val="005966B1"/>
    <w:rsid w:val="005967D2"/>
    <w:rsid w:val="00596F36"/>
    <w:rsid w:val="00597056"/>
    <w:rsid w:val="005973F5"/>
    <w:rsid w:val="00597796"/>
    <w:rsid w:val="00597D51"/>
    <w:rsid w:val="005A0255"/>
    <w:rsid w:val="005A0294"/>
    <w:rsid w:val="005A04D4"/>
    <w:rsid w:val="005A09CD"/>
    <w:rsid w:val="005A0C92"/>
    <w:rsid w:val="005A0CF8"/>
    <w:rsid w:val="005A0FAC"/>
    <w:rsid w:val="005A105D"/>
    <w:rsid w:val="005A15BE"/>
    <w:rsid w:val="005A1719"/>
    <w:rsid w:val="005A1880"/>
    <w:rsid w:val="005A1ED7"/>
    <w:rsid w:val="005A1EEE"/>
    <w:rsid w:val="005A2002"/>
    <w:rsid w:val="005A2065"/>
    <w:rsid w:val="005A2067"/>
    <w:rsid w:val="005A2263"/>
    <w:rsid w:val="005A2289"/>
    <w:rsid w:val="005A23CD"/>
    <w:rsid w:val="005A256F"/>
    <w:rsid w:val="005A257C"/>
    <w:rsid w:val="005A27CB"/>
    <w:rsid w:val="005A27E8"/>
    <w:rsid w:val="005A28E9"/>
    <w:rsid w:val="005A2AF7"/>
    <w:rsid w:val="005A2BCA"/>
    <w:rsid w:val="005A2D93"/>
    <w:rsid w:val="005A2E55"/>
    <w:rsid w:val="005A2FA8"/>
    <w:rsid w:val="005A3003"/>
    <w:rsid w:val="005A3153"/>
    <w:rsid w:val="005A32C9"/>
    <w:rsid w:val="005A33D2"/>
    <w:rsid w:val="005A357E"/>
    <w:rsid w:val="005A359D"/>
    <w:rsid w:val="005A3A09"/>
    <w:rsid w:val="005A3BD9"/>
    <w:rsid w:val="005A3D61"/>
    <w:rsid w:val="005A411C"/>
    <w:rsid w:val="005A4275"/>
    <w:rsid w:val="005A438A"/>
    <w:rsid w:val="005A4826"/>
    <w:rsid w:val="005A4B3F"/>
    <w:rsid w:val="005A4EF9"/>
    <w:rsid w:val="005A4F39"/>
    <w:rsid w:val="005A4F96"/>
    <w:rsid w:val="005A513A"/>
    <w:rsid w:val="005A51DF"/>
    <w:rsid w:val="005A53F5"/>
    <w:rsid w:val="005A5842"/>
    <w:rsid w:val="005A5935"/>
    <w:rsid w:val="005A5B84"/>
    <w:rsid w:val="005A5C24"/>
    <w:rsid w:val="005A5CA3"/>
    <w:rsid w:val="005A5E2C"/>
    <w:rsid w:val="005A5E45"/>
    <w:rsid w:val="005A5EA8"/>
    <w:rsid w:val="005A5F35"/>
    <w:rsid w:val="005A5F40"/>
    <w:rsid w:val="005A609F"/>
    <w:rsid w:val="005A63EE"/>
    <w:rsid w:val="005A656A"/>
    <w:rsid w:val="005A65AD"/>
    <w:rsid w:val="005A6B24"/>
    <w:rsid w:val="005A6EC4"/>
    <w:rsid w:val="005A749C"/>
    <w:rsid w:val="005A7EC6"/>
    <w:rsid w:val="005B00F2"/>
    <w:rsid w:val="005B0D00"/>
    <w:rsid w:val="005B0D47"/>
    <w:rsid w:val="005B13F5"/>
    <w:rsid w:val="005B14BC"/>
    <w:rsid w:val="005B1534"/>
    <w:rsid w:val="005B1554"/>
    <w:rsid w:val="005B1AC4"/>
    <w:rsid w:val="005B1AEE"/>
    <w:rsid w:val="005B2015"/>
    <w:rsid w:val="005B2293"/>
    <w:rsid w:val="005B2402"/>
    <w:rsid w:val="005B253A"/>
    <w:rsid w:val="005B2777"/>
    <w:rsid w:val="005B28B4"/>
    <w:rsid w:val="005B2AEE"/>
    <w:rsid w:val="005B33DE"/>
    <w:rsid w:val="005B346E"/>
    <w:rsid w:val="005B362C"/>
    <w:rsid w:val="005B3816"/>
    <w:rsid w:val="005B3F06"/>
    <w:rsid w:val="005B4136"/>
    <w:rsid w:val="005B41A3"/>
    <w:rsid w:val="005B4416"/>
    <w:rsid w:val="005B4546"/>
    <w:rsid w:val="005B4645"/>
    <w:rsid w:val="005B4F36"/>
    <w:rsid w:val="005B6133"/>
    <w:rsid w:val="005B613D"/>
    <w:rsid w:val="005B61F2"/>
    <w:rsid w:val="005B622B"/>
    <w:rsid w:val="005B626D"/>
    <w:rsid w:val="005B6550"/>
    <w:rsid w:val="005B6991"/>
    <w:rsid w:val="005B6A2B"/>
    <w:rsid w:val="005B6B95"/>
    <w:rsid w:val="005B6BDD"/>
    <w:rsid w:val="005B75AC"/>
    <w:rsid w:val="005B763E"/>
    <w:rsid w:val="005B7907"/>
    <w:rsid w:val="005B7ABA"/>
    <w:rsid w:val="005B7D6C"/>
    <w:rsid w:val="005C007B"/>
    <w:rsid w:val="005C01FF"/>
    <w:rsid w:val="005C023F"/>
    <w:rsid w:val="005C02D5"/>
    <w:rsid w:val="005C04B6"/>
    <w:rsid w:val="005C05A9"/>
    <w:rsid w:val="005C06F4"/>
    <w:rsid w:val="005C09DD"/>
    <w:rsid w:val="005C0DE6"/>
    <w:rsid w:val="005C0E67"/>
    <w:rsid w:val="005C141B"/>
    <w:rsid w:val="005C1680"/>
    <w:rsid w:val="005C18DA"/>
    <w:rsid w:val="005C19B7"/>
    <w:rsid w:val="005C1AC9"/>
    <w:rsid w:val="005C1E3C"/>
    <w:rsid w:val="005C1FE5"/>
    <w:rsid w:val="005C24CE"/>
    <w:rsid w:val="005C27D5"/>
    <w:rsid w:val="005C286B"/>
    <w:rsid w:val="005C2891"/>
    <w:rsid w:val="005C2B4B"/>
    <w:rsid w:val="005C2C3B"/>
    <w:rsid w:val="005C2D25"/>
    <w:rsid w:val="005C2F67"/>
    <w:rsid w:val="005C300C"/>
    <w:rsid w:val="005C31CE"/>
    <w:rsid w:val="005C3574"/>
    <w:rsid w:val="005C3782"/>
    <w:rsid w:val="005C3868"/>
    <w:rsid w:val="005C3C56"/>
    <w:rsid w:val="005C3E44"/>
    <w:rsid w:val="005C3EE9"/>
    <w:rsid w:val="005C3EFF"/>
    <w:rsid w:val="005C3F2B"/>
    <w:rsid w:val="005C4276"/>
    <w:rsid w:val="005C44C0"/>
    <w:rsid w:val="005C44F1"/>
    <w:rsid w:val="005C49E7"/>
    <w:rsid w:val="005C4AEC"/>
    <w:rsid w:val="005C4DFC"/>
    <w:rsid w:val="005C4EC3"/>
    <w:rsid w:val="005C5082"/>
    <w:rsid w:val="005C54DC"/>
    <w:rsid w:val="005C56B7"/>
    <w:rsid w:val="005C5E31"/>
    <w:rsid w:val="005C60FF"/>
    <w:rsid w:val="005C63A9"/>
    <w:rsid w:val="005C6408"/>
    <w:rsid w:val="005C66F0"/>
    <w:rsid w:val="005C6797"/>
    <w:rsid w:val="005C6936"/>
    <w:rsid w:val="005C6B82"/>
    <w:rsid w:val="005C6BF8"/>
    <w:rsid w:val="005C7183"/>
    <w:rsid w:val="005C727D"/>
    <w:rsid w:val="005C72E7"/>
    <w:rsid w:val="005C7711"/>
    <w:rsid w:val="005C78B8"/>
    <w:rsid w:val="005C7EC9"/>
    <w:rsid w:val="005C7F76"/>
    <w:rsid w:val="005D0110"/>
    <w:rsid w:val="005D023D"/>
    <w:rsid w:val="005D029D"/>
    <w:rsid w:val="005D0997"/>
    <w:rsid w:val="005D0AA2"/>
    <w:rsid w:val="005D1009"/>
    <w:rsid w:val="005D13B0"/>
    <w:rsid w:val="005D16B3"/>
    <w:rsid w:val="005D182C"/>
    <w:rsid w:val="005D18B2"/>
    <w:rsid w:val="005D1B68"/>
    <w:rsid w:val="005D1FCD"/>
    <w:rsid w:val="005D206F"/>
    <w:rsid w:val="005D2148"/>
    <w:rsid w:val="005D21EF"/>
    <w:rsid w:val="005D2898"/>
    <w:rsid w:val="005D29A5"/>
    <w:rsid w:val="005D2D0D"/>
    <w:rsid w:val="005D2E4A"/>
    <w:rsid w:val="005D2F29"/>
    <w:rsid w:val="005D31F6"/>
    <w:rsid w:val="005D37FB"/>
    <w:rsid w:val="005D3BFD"/>
    <w:rsid w:val="005D3F0A"/>
    <w:rsid w:val="005D4608"/>
    <w:rsid w:val="005D491D"/>
    <w:rsid w:val="005D496D"/>
    <w:rsid w:val="005D4A6A"/>
    <w:rsid w:val="005D4B27"/>
    <w:rsid w:val="005D4CCB"/>
    <w:rsid w:val="005D4E3F"/>
    <w:rsid w:val="005D4F85"/>
    <w:rsid w:val="005D531A"/>
    <w:rsid w:val="005D5412"/>
    <w:rsid w:val="005D57F8"/>
    <w:rsid w:val="005D58BC"/>
    <w:rsid w:val="005D5B96"/>
    <w:rsid w:val="005D5BB9"/>
    <w:rsid w:val="005D5F28"/>
    <w:rsid w:val="005D5F3E"/>
    <w:rsid w:val="005D6223"/>
    <w:rsid w:val="005D62B7"/>
    <w:rsid w:val="005D6B0E"/>
    <w:rsid w:val="005D6BF3"/>
    <w:rsid w:val="005D6D83"/>
    <w:rsid w:val="005D6F8D"/>
    <w:rsid w:val="005D70BA"/>
    <w:rsid w:val="005D7363"/>
    <w:rsid w:val="005D73F6"/>
    <w:rsid w:val="005D755A"/>
    <w:rsid w:val="005D75B7"/>
    <w:rsid w:val="005D7C09"/>
    <w:rsid w:val="005D7D41"/>
    <w:rsid w:val="005D7EFB"/>
    <w:rsid w:val="005E01BF"/>
    <w:rsid w:val="005E02CE"/>
    <w:rsid w:val="005E0619"/>
    <w:rsid w:val="005E074F"/>
    <w:rsid w:val="005E07CB"/>
    <w:rsid w:val="005E07E3"/>
    <w:rsid w:val="005E084C"/>
    <w:rsid w:val="005E1029"/>
    <w:rsid w:val="005E122E"/>
    <w:rsid w:val="005E143D"/>
    <w:rsid w:val="005E1509"/>
    <w:rsid w:val="005E17F2"/>
    <w:rsid w:val="005E190C"/>
    <w:rsid w:val="005E1B8B"/>
    <w:rsid w:val="005E2116"/>
    <w:rsid w:val="005E2330"/>
    <w:rsid w:val="005E23D3"/>
    <w:rsid w:val="005E2637"/>
    <w:rsid w:val="005E2802"/>
    <w:rsid w:val="005E2AD8"/>
    <w:rsid w:val="005E2CF2"/>
    <w:rsid w:val="005E2E81"/>
    <w:rsid w:val="005E2EDA"/>
    <w:rsid w:val="005E2EE9"/>
    <w:rsid w:val="005E3395"/>
    <w:rsid w:val="005E3456"/>
    <w:rsid w:val="005E35AE"/>
    <w:rsid w:val="005E383F"/>
    <w:rsid w:val="005E3936"/>
    <w:rsid w:val="005E40A6"/>
    <w:rsid w:val="005E40C4"/>
    <w:rsid w:val="005E41C3"/>
    <w:rsid w:val="005E4200"/>
    <w:rsid w:val="005E4526"/>
    <w:rsid w:val="005E47EA"/>
    <w:rsid w:val="005E4BD4"/>
    <w:rsid w:val="005E4EDA"/>
    <w:rsid w:val="005E4F33"/>
    <w:rsid w:val="005E4FDD"/>
    <w:rsid w:val="005E516E"/>
    <w:rsid w:val="005E5287"/>
    <w:rsid w:val="005E52B3"/>
    <w:rsid w:val="005E52D9"/>
    <w:rsid w:val="005E54D3"/>
    <w:rsid w:val="005E5512"/>
    <w:rsid w:val="005E57DF"/>
    <w:rsid w:val="005E5836"/>
    <w:rsid w:val="005E60AA"/>
    <w:rsid w:val="005E67A4"/>
    <w:rsid w:val="005E68DE"/>
    <w:rsid w:val="005E6A41"/>
    <w:rsid w:val="005E6C2E"/>
    <w:rsid w:val="005E6D15"/>
    <w:rsid w:val="005E7227"/>
    <w:rsid w:val="005E7317"/>
    <w:rsid w:val="005E746E"/>
    <w:rsid w:val="005E76AC"/>
    <w:rsid w:val="005E76C9"/>
    <w:rsid w:val="005E784C"/>
    <w:rsid w:val="005E7A11"/>
    <w:rsid w:val="005E7D53"/>
    <w:rsid w:val="005E7DED"/>
    <w:rsid w:val="005F0031"/>
    <w:rsid w:val="005F011A"/>
    <w:rsid w:val="005F0439"/>
    <w:rsid w:val="005F04BE"/>
    <w:rsid w:val="005F0AA7"/>
    <w:rsid w:val="005F0CF3"/>
    <w:rsid w:val="005F0E28"/>
    <w:rsid w:val="005F0E4E"/>
    <w:rsid w:val="005F0E66"/>
    <w:rsid w:val="005F0F5B"/>
    <w:rsid w:val="005F1101"/>
    <w:rsid w:val="005F1120"/>
    <w:rsid w:val="005F1345"/>
    <w:rsid w:val="005F16E1"/>
    <w:rsid w:val="005F17F5"/>
    <w:rsid w:val="005F223F"/>
    <w:rsid w:val="005F2296"/>
    <w:rsid w:val="005F24FC"/>
    <w:rsid w:val="005F2572"/>
    <w:rsid w:val="005F26DE"/>
    <w:rsid w:val="005F2704"/>
    <w:rsid w:val="005F2B3E"/>
    <w:rsid w:val="005F2B55"/>
    <w:rsid w:val="005F2BA4"/>
    <w:rsid w:val="005F2E2E"/>
    <w:rsid w:val="005F3261"/>
    <w:rsid w:val="005F32DA"/>
    <w:rsid w:val="005F38FF"/>
    <w:rsid w:val="005F3C65"/>
    <w:rsid w:val="005F4787"/>
    <w:rsid w:val="005F481A"/>
    <w:rsid w:val="005F4D9D"/>
    <w:rsid w:val="005F4E5A"/>
    <w:rsid w:val="005F4E99"/>
    <w:rsid w:val="005F4FA4"/>
    <w:rsid w:val="005F50BF"/>
    <w:rsid w:val="005F5191"/>
    <w:rsid w:val="005F54F2"/>
    <w:rsid w:val="005F56BD"/>
    <w:rsid w:val="005F5B56"/>
    <w:rsid w:val="005F5E75"/>
    <w:rsid w:val="005F60EA"/>
    <w:rsid w:val="005F6290"/>
    <w:rsid w:val="005F62CF"/>
    <w:rsid w:val="005F65AE"/>
    <w:rsid w:val="005F66D5"/>
    <w:rsid w:val="005F67AB"/>
    <w:rsid w:val="005F67DA"/>
    <w:rsid w:val="005F68C8"/>
    <w:rsid w:val="005F6DA0"/>
    <w:rsid w:val="005F7046"/>
    <w:rsid w:val="005F7365"/>
    <w:rsid w:val="005F75D6"/>
    <w:rsid w:val="005F7CDD"/>
    <w:rsid w:val="005F7F8E"/>
    <w:rsid w:val="0060022F"/>
    <w:rsid w:val="00600595"/>
    <w:rsid w:val="006007D1"/>
    <w:rsid w:val="00600956"/>
    <w:rsid w:val="00600995"/>
    <w:rsid w:val="00600CC1"/>
    <w:rsid w:val="0060147B"/>
    <w:rsid w:val="0060163B"/>
    <w:rsid w:val="00601989"/>
    <w:rsid w:val="00601B75"/>
    <w:rsid w:val="00602062"/>
    <w:rsid w:val="00602519"/>
    <w:rsid w:val="00602BDF"/>
    <w:rsid w:val="00602CE4"/>
    <w:rsid w:val="00602F51"/>
    <w:rsid w:val="00602FD0"/>
    <w:rsid w:val="00602FF9"/>
    <w:rsid w:val="00603249"/>
    <w:rsid w:val="006032EE"/>
    <w:rsid w:val="0060393B"/>
    <w:rsid w:val="00603B9C"/>
    <w:rsid w:val="00603C28"/>
    <w:rsid w:val="00603EFC"/>
    <w:rsid w:val="00603F24"/>
    <w:rsid w:val="006042E9"/>
    <w:rsid w:val="0060437F"/>
    <w:rsid w:val="00604A68"/>
    <w:rsid w:val="00604A74"/>
    <w:rsid w:val="00604C49"/>
    <w:rsid w:val="00604D12"/>
    <w:rsid w:val="00604D31"/>
    <w:rsid w:val="00604DAB"/>
    <w:rsid w:val="00604FD8"/>
    <w:rsid w:val="00605200"/>
    <w:rsid w:val="0060554A"/>
    <w:rsid w:val="00605842"/>
    <w:rsid w:val="00605A2B"/>
    <w:rsid w:val="00605AFC"/>
    <w:rsid w:val="00605B29"/>
    <w:rsid w:val="00605DED"/>
    <w:rsid w:val="006063BE"/>
    <w:rsid w:val="00606669"/>
    <w:rsid w:val="00606CC8"/>
    <w:rsid w:val="00606D56"/>
    <w:rsid w:val="00606D7A"/>
    <w:rsid w:val="00606E60"/>
    <w:rsid w:val="00607307"/>
    <w:rsid w:val="006075E4"/>
    <w:rsid w:val="0060765D"/>
    <w:rsid w:val="006076EB"/>
    <w:rsid w:val="006079A7"/>
    <w:rsid w:val="00607CCB"/>
    <w:rsid w:val="0061072D"/>
    <w:rsid w:val="006108FF"/>
    <w:rsid w:val="006109A0"/>
    <w:rsid w:val="0061115B"/>
    <w:rsid w:val="00611449"/>
    <w:rsid w:val="00611584"/>
    <w:rsid w:val="0061160A"/>
    <w:rsid w:val="00611AA8"/>
    <w:rsid w:val="00611E2A"/>
    <w:rsid w:val="00611FCC"/>
    <w:rsid w:val="006120BD"/>
    <w:rsid w:val="00612159"/>
    <w:rsid w:val="00612414"/>
    <w:rsid w:val="0061266E"/>
    <w:rsid w:val="00612974"/>
    <w:rsid w:val="00612F97"/>
    <w:rsid w:val="0061361F"/>
    <w:rsid w:val="006138B6"/>
    <w:rsid w:val="00613AAB"/>
    <w:rsid w:val="00613D29"/>
    <w:rsid w:val="00613E62"/>
    <w:rsid w:val="00614148"/>
    <w:rsid w:val="006143E1"/>
    <w:rsid w:val="0061440D"/>
    <w:rsid w:val="00614517"/>
    <w:rsid w:val="006145F4"/>
    <w:rsid w:val="00614607"/>
    <w:rsid w:val="006146BA"/>
    <w:rsid w:val="00614CDC"/>
    <w:rsid w:val="00614F2B"/>
    <w:rsid w:val="00615393"/>
    <w:rsid w:val="00615971"/>
    <w:rsid w:val="00615A8C"/>
    <w:rsid w:val="006161C0"/>
    <w:rsid w:val="0061691B"/>
    <w:rsid w:val="00616DD5"/>
    <w:rsid w:val="00616ED7"/>
    <w:rsid w:val="006174B1"/>
    <w:rsid w:val="00617587"/>
    <w:rsid w:val="006176C4"/>
    <w:rsid w:val="0061796A"/>
    <w:rsid w:val="00617AC2"/>
    <w:rsid w:val="00617C14"/>
    <w:rsid w:val="00617D10"/>
    <w:rsid w:val="00617D31"/>
    <w:rsid w:val="00617D76"/>
    <w:rsid w:val="00617DF4"/>
    <w:rsid w:val="00617F72"/>
    <w:rsid w:val="006200CA"/>
    <w:rsid w:val="006201F8"/>
    <w:rsid w:val="006202C3"/>
    <w:rsid w:val="006204AB"/>
    <w:rsid w:val="00620712"/>
    <w:rsid w:val="0062099D"/>
    <w:rsid w:val="00620A33"/>
    <w:rsid w:val="00620CBD"/>
    <w:rsid w:val="0062156E"/>
    <w:rsid w:val="006215D6"/>
    <w:rsid w:val="006217D3"/>
    <w:rsid w:val="0062181E"/>
    <w:rsid w:val="00621E0F"/>
    <w:rsid w:val="006220F8"/>
    <w:rsid w:val="006223A0"/>
    <w:rsid w:val="00622419"/>
    <w:rsid w:val="00622555"/>
    <w:rsid w:val="00622604"/>
    <w:rsid w:val="00622C7B"/>
    <w:rsid w:val="006230E7"/>
    <w:rsid w:val="006231B2"/>
    <w:rsid w:val="00623327"/>
    <w:rsid w:val="00623495"/>
    <w:rsid w:val="006234BF"/>
    <w:rsid w:val="006235BB"/>
    <w:rsid w:val="006236C0"/>
    <w:rsid w:val="00623A6C"/>
    <w:rsid w:val="00623B11"/>
    <w:rsid w:val="00623F47"/>
    <w:rsid w:val="00624102"/>
    <w:rsid w:val="006241DD"/>
    <w:rsid w:val="00624762"/>
    <w:rsid w:val="00624B1A"/>
    <w:rsid w:val="00624BF0"/>
    <w:rsid w:val="00624D1B"/>
    <w:rsid w:val="00624FB6"/>
    <w:rsid w:val="00625062"/>
    <w:rsid w:val="006251CE"/>
    <w:rsid w:val="006251E1"/>
    <w:rsid w:val="006252CF"/>
    <w:rsid w:val="0062541F"/>
    <w:rsid w:val="00625625"/>
    <w:rsid w:val="00625697"/>
    <w:rsid w:val="00625C08"/>
    <w:rsid w:val="00625FBE"/>
    <w:rsid w:val="00626200"/>
    <w:rsid w:val="0062621C"/>
    <w:rsid w:val="0062624A"/>
    <w:rsid w:val="00626264"/>
    <w:rsid w:val="00626288"/>
    <w:rsid w:val="00626588"/>
    <w:rsid w:val="006266C1"/>
    <w:rsid w:val="00626851"/>
    <w:rsid w:val="00626A91"/>
    <w:rsid w:val="00626D04"/>
    <w:rsid w:val="00626D3F"/>
    <w:rsid w:val="006270B5"/>
    <w:rsid w:val="0062779E"/>
    <w:rsid w:val="0062784E"/>
    <w:rsid w:val="00627C70"/>
    <w:rsid w:val="00627C78"/>
    <w:rsid w:val="00627DEC"/>
    <w:rsid w:val="0063013D"/>
    <w:rsid w:val="00630448"/>
    <w:rsid w:val="00630777"/>
    <w:rsid w:val="00630A03"/>
    <w:rsid w:val="00630BCE"/>
    <w:rsid w:val="00630BF7"/>
    <w:rsid w:val="00630CE4"/>
    <w:rsid w:val="00630D0A"/>
    <w:rsid w:val="00630D6A"/>
    <w:rsid w:val="00630F32"/>
    <w:rsid w:val="0063110A"/>
    <w:rsid w:val="006311BF"/>
    <w:rsid w:val="006317BD"/>
    <w:rsid w:val="00631864"/>
    <w:rsid w:val="00631933"/>
    <w:rsid w:val="00632064"/>
    <w:rsid w:val="006325D1"/>
    <w:rsid w:val="00632A15"/>
    <w:rsid w:val="00632B9A"/>
    <w:rsid w:val="00632DAF"/>
    <w:rsid w:val="00632F43"/>
    <w:rsid w:val="00633CCE"/>
    <w:rsid w:val="00633D3D"/>
    <w:rsid w:val="00633F15"/>
    <w:rsid w:val="00634129"/>
    <w:rsid w:val="00634284"/>
    <w:rsid w:val="0063456D"/>
    <w:rsid w:val="00634658"/>
    <w:rsid w:val="00634929"/>
    <w:rsid w:val="00634AB1"/>
    <w:rsid w:val="00634BFC"/>
    <w:rsid w:val="00634DCB"/>
    <w:rsid w:val="00634DD8"/>
    <w:rsid w:val="00634F6C"/>
    <w:rsid w:val="0063516D"/>
    <w:rsid w:val="006355C1"/>
    <w:rsid w:val="00635638"/>
    <w:rsid w:val="00636306"/>
    <w:rsid w:val="006365D1"/>
    <w:rsid w:val="0063677C"/>
    <w:rsid w:val="00636954"/>
    <w:rsid w:val="00636AA2"/>
    <w:rsid w:val="00636CCA"/>
    <w:rsid w:val="00636E82"/>
    <w:rsid w:val="00636E84"/>
    <w:rsid w:val="00636F46"/>
    <w:rsid w:val="0063735A"/>
    <w:rsid w:val="00637438"/>
    <w:rsid w:val="0063743F"/>
    <w:rsid w:val="006376B2"/>
    <w:rsid w:val="006378C8"/>
    <w:rsid w:val="006378F9"/>
    <w:rsid w:val="006379FD"/>
    <w:rsid w:val="00637A39"/>
    <w:rsid w:val="00637A5C"/>
    <w:rsid w:val="00637A93"/>
    <w:rsid w:val="00637B34"/>
    <w:rsid w:val="00637D1A"/>
    <w:rsid w:val="00637D88"/>
    <w:rsid w:val="00637F53"/>
    <w:rsid w:val="006400CF"/>
    <w:rsid w:val="006406E1"/>
    <w:rsid w:val="00640756"/>
    <w:rsid w:val="00640877"/>
    <w:rsid w:val="0064098E"/>
    <w:rsid w:val="006409CB"/>
    <w:rsid w:val="006409EA"/>
    <w:rsid w:val="00640A76"/>
    <w:rsid w:val="00640A8A"/>
    <w:rsid w:val="00640EBB"/>
    <w:rsid w:val="00640F61"/>
    <w:rsid w:val="0064146B"/>
    <w:rsid w:val="006414A9"/>
    <w:rsid w:val="006416F0"/>
    <w:rsid w:val="00641AA3"/>
    <w:rsid w:val="00641B14"/>
    <w:rsid w:val="00641D31"/>
    <w:rsid w:val="00641F3B"/>
    <w:rsid w:val="00641F5B"/>
    <w:rsid w:val="00641FCE"/>
    <w:rsid w:val="00642095"/>
    <w:rsid w:val="0064267B"/>
    <w:rsid w:val="0064272B"/>
    <w:rsid w:val="0064276B"/>
    <w:rsid w:val="006427BF"/>
    <w:rsid w:val="00642871"/>
    <w:rsid w:val="00642C5A"/>
    <w:rsid w:val="00643073"/>
    <w:rsid w:val="00643280"/>
    <w:rsid w:val="006433BE"/>
    <w:rsid w:val="006434F1"/>
    <w:rsid w:val="006435FE"/>
    <w:rsid w:val="0064368F"/>
    <w:rsid w:val="006439FA"/>
    <w:rsid w:val="00643D14"/>
    <w:rsid w:val="006443A2"/>
    <w:rsid w:val="006444D0"/>
    <w:rsid w:val="006447E3"/>
    <w:rsid w:val="00644892"/>
    <w:rsid w:val="006449BD"/>
    <w:rsid w:val="00644BBD"/>
    <w:rsid w:val="00644E6B"/>
    <w:rsid w:val="00645209"/>
    <w:rsid w:val="0064527E"/>
    <w:rsid w:val="0064534D"/>
    <w:rsid w:val="00645385"/>
    <w:rsid w:val="006457C9"/>
    <w:rsid w:val="006458F3"/>
    <w:rsid w:val="0064591D"/>
    <w:rsid w:val="00645938"/>
    <w:rsid w:val="00645993"/>
    <w:rsid w:val="0064599B"/>
    <w:rsid w:val="00645AF7"/>
    <w:rsid w:val="00645B4F"/>
    <w:rsid w:val="00645CF9"/>
    <w:rsid w:val="00645CFF"/>
    <w:rsid w:val="00646501"/>
    <w:rsid w:val="0064659E"/>
    <w:rsid w:val="0064684B"/>
    <w:rsid w:val="00646E5B"/>
    <w:rsid w:val="00646EC9"/>
    <w:rsid w:val="00647114"/>
    <w:rsid w:val="006471E0"/>
    <w:rsid w:val="00647232"/>
    <w:rsid w:val="006474D0"/>
    <w:rsid w:val="00647571"/>
    <w:rsid w:val="006476DA"/>
    <w:rsid w:val="0064797A"/>
    <w:rsid w:val="00647D7C"/>
    <w:rsid w:val="0065002D"/>
    <w:rsid w:val="00650245"/>
    <w:rsid w:val="006504ED"/>
    <w:rsid w:val="00650536"/>
    <w:rsid w:val="006507B0"/>
    <w:rsid w:val="0065083B"/>
    <w:rsid w:val="00650E51"/>
    <w:rsid w:val="00651094"/>
    <w:rsid w:val="0065174A"/>
    <w:rsid w:val="0065186B"/>
    <w:rsid w:val="00651BFE"/>
    <w:rsid w:val="00651CCB"/>
    <w:rsid w:val="00651DE0"/>
    <w:rsid w:val="00651E38"/>
    <w:rsid w:val="00652027"/>
    <w:rsid w:val="0065254D"/>
    <w:rsid w:val="00652675"/>
    <w:rsid w:val="00652A02"/>
    <w:rsid w:val="00652B1D"/>
    <w:rsid w:val="00652E44"/>
    <w:rsid w:val="006533DC"/>
    <w:rsid w:val="006537BC"/>
    <w:rsid w:val="0065397F"/>
    <w:rsid w:val="00653D99"/>
    <w:rsid w:val="0065400C"/>
    <w:rsid w:val="0065408F"/>
    <w:rsid w:val="006540A4"/>
    <w:rsid w:val="00654433"/>
    <w:rsid w:val="00654AF7"/>
    <w:rsid w:val="00654B30"/>
    <w:rsid w:val="00654E3C"/>
    <w:rsid w:val="00655087"/>
    <w:rsid w:val="006555AC"/>
    <w:rsid w:val="00655971"/>
    <w:rsid w:val="006559E6"/>
    <w:rsid w:val="00655BA4"/>
    <w:rsid w:val="00655C5F"/>
    <w:rsid w:val="00655C76"/>
    <w:rsid w:val="00655F42"/>
    <w:rsid w:val="00656260"/>
    <w:rsid w:val="00656289"/>
    <w:rsid w:val="0065629D"/>
    <w:rsid w:val="006562A0"/>
    <w:rsid w:val="006564D7"/>
    <w:rsid w:val="006573D7"/>
    <w:rsid w:val="0065740F"/>
    <w:rsid w:val="00657515"/>
    <w:rsid w:val="0065757F"/>
    <w:rsid w:val="00657782"/>
    <w:rsid w:val="00657BA2"/>
    <w:rsid w:val="00657BFA"/>
    <w:rsid w:val="00660336"/>
    <w:rsid w:val="006603F8"/>
    <w:rsid w:val="00660658"/>
    <w:rsid w:val="00660693"/>
    <w:rsid w:val="00660D2B"/>
    <w:rsid w:val="00660D5A"/>
    <w:rsid w:val="00661589"/>
    <w:rsid w:val="00661941"/>
    <w:rsid w:val="00661DC6"/>
    <w:rsid w:val="00661E5A"/>
    <w:rsid w:val="00662048"/>
    <w:rsid w:val="00662174"/>
    <w:rsid w:val="0066218F"/>
    <w:rsid w:val="0066252E"/>
    <w:rsid w:val="00662545"/>
    <w:rsid w:val="00662A43"/>
    <w:rsid w:val="00662B18"/>
    <w:rsid w:val="00662DCF"/>
    <w:rsid w:val="00662FA0"/>
    <w:rsid w:val="006631D0"/>
    <w:rsid w:val="00663236"/>
    <w:rsid w:val="006632D7"/>
    <w:rsid w:val="00663441"/>
    <w:rsid w:val="006634BA"/>
    <w:rsid w:val="006637CD"/>
    <w:rsid w:val="006639D4"/>
    <w:rsid w:val="00663A61"/>
    <w:rsid w:val="00663DBD"/>
    <w:rsid w:val="006641EF"/>
    <w:rsid w:val="00664238"/>
    <w:rsid w:val="00664351"/>
    <w:rsid w:val="006646D5"/>
    <w:rsid w:val="00664974"/>
    <w:rsid w:val="0066497F"/>
    <w:rsid w:val="00664A5B"/>
    <w:rsid w:val="00664EA7"/>
    <w:rsid w:val="00664FAD"/>
    <w:rsid w:val="00664FDD"/>
    <w:rsid w:val="00665140"/>
    <w:rsid w:val="006658BF"/>
    <w:rsid w:val="00665B7C"/>
    <w:rsid w:val="00666256"/>
    <w:rsid w:val="006669EF"/>
    <w:rsid w:val="0066728A"/>
    <w:rsid w:val="00667370"/>
    <w:rsid w:val="006677D7"/>
    <w:rsid w:val="00667AED"/>
    <w:rsid w:val="00667B9D"/>
    <w:rsid w:val="00667BEE"/>
    <w:rsid w:val="00667D00"/>
    <w:rsid w:val="00667D9F"/>
    <w:rsid w:val="00667F58"/>
    <w:rsid w:val="00670176"/>
    <w:rsid w:val="006703D6"/>
    <w:rsid w:val="00670464"/>
    <w:rsid w:val="00670830"/>
    <w:rsid w:val="00670AE2"/>
    <w:rsid w:val="00670C26"/>
    <w:rsid w:val="00670E36"/>
    <w:rsid w:val="0067131D"/>
    <w:rsid w:val="0067190D"/>
    <w:rsid w:val="00671910"/>
    <w:rsid w:val="006720BB"/>
    <w:rsid w:val="006720F6"/>
    <w:rsid w:val="00672189"/>
    <w:rsid w:val="00672566"/>
    <w:rsid w:val="006732D8"/>
    <w:rsid w:val="0067333C"/>
    <w:rsid w:val="006734AD"/>
    <w:rsid w:val="006734FB"/>
    <w:rsid w:val="00673529"/>
    <w:rsid w:val="006736C5"/>
    <w:rsid w:val="006736EE"/>
    <w:rsid w:val="00673752"/>
    <w:rsid w:val="006739B6"/>
    <w:rsid w:val="00673A03"/>
    <w:rsid w:val="00673F0E"/>
    <w:rsid w:val="0067402D"/>
    <w:rsid w:val="00674202"/>
    <w:rsid w:val="0067424F"/>
    <w:rsid w:val="006742BB"/>
    <w:rsid w:val="006743CA"/>
    <w:rsid w:val="00674443"/>
    <w:rsid w:val="0067460B"/>
    <w:rsid w:val="00674850"/>
    <w:rsid w:val="00674E9E"/>
    <w:rsid w:val="0067518C"/>
    <w:rsid w:val="00675357"/>
    <w:rsid w:val="0067551C"/>
    <w:rsid w:val="00675982"/>
    <w:rsid w:val="00675E6B"/>
    <w:rsid w:val="0067603D"/>
    <w:rsid w:val="006763A2"/>
    <w:rsid w:val="00676540"/>
    <w:rsid w:val="0067674B"/>
    <w:rsid w:val="00676A35"/>
    <w:rsid w:val="00677552"/>
    <w:rsid w:val="00677556"/>
    <w:rsid w:val="00677C45"/>
    <w:rsid w:val="00677D5E"/>
    <w:rsid w:val="0068052A"/>
    <w:rsid w:val="00680A3A"/>
    <w:rsid w:val="00680EDA"/>
    <w:rsid w:val="00680F27"/>
    <w:rsid w:val="00680F8B"/>
    <w:rsid w:val="00680F8C"/>
    <w:rsid w:val="00681137"/>
    <w:rsid w:val="0068137B"/>
    <w:rsid w:val="006813C6"/>
    <w:rsid w:val="006814B1"/>
    <w:rsid w:val="00681EA0"/>
    <w:rsid w:val="00681F6F"/>
    <w:rsid w:val="00682624"/>
    <w:rsid w:val="00682745"/>
    <w:rsid w:val="00682822"/>
    <w:rsid w:val="00682DCF"/>
    <w:rsid w:val="00682E1B"/>
    <w:rsid w:val="00682F65"/>
    <w:rsid w:val="006830AC"/>
    <w:rsid w:val="006833C6"/>
    <w:rsid w:val="006837A3"/>
    <w:rsid w:val="006839F0"/>
    <w:rsid w:val="00683B36"/>
    <w:rsid w:val="00683DDC"/>
    <w:rsid w:val="00684425"/>
    <w:rsid w:val="00684426"/>
    <w:rsid w:val="0068442E"/>
    <w:rsid w:val="006846A9"/>
    <w:rsid w:val="00684821"/>
    <w:rsid w:val="006849DF"/>
    <w:rsid w:val="00684A97"/>
    <w:rsid w:val="00684AA0"/>
    <w:rsid w:val="00684B91"/>
    <w:rsid w:val="00684D34"/>
    <w:rsid w:val="00684E4B"/>
    <w:rsid w:val="00684E9D"/>
    <w:rsid w:val="0068512B"/>
    <w:rsid w:val="0068517C"/>
    <w:rsid w:val="006852B9"/>
    <w:rsid w:val="006852D7"/>
    <w:rsid w:val="00685340"/>
    <w:rsid w:val="0068564B"/>
    <w:rsid w:val="00685815"/>
    <w:rsid w:val="00685900"/>
    <w:rsid w:val="00685AD9"/>
    <w:rsid w:val="006862E5"/>
    <w:rsid w:val="00686341"/>
    <w:rsid w:val="006863D4"/>
    <w:rsid w:val="00686B88"/>
    <w:rsid w:val="00686BC3"/>
    <w:rsid w:val="00686CF4"/>
    <w:rsid w:val="00686F87"/>
    <w:rsid w:val="00686FE3"/>
    <w:rsid w:val="00687099"/>
    <w:rsid w:val="006874B6"/>
    <w:rsid w:val="0068764A"/>
    <w:rsid w:val="006876AE"/>
    <w:rsid w:val="006877B7"/>
    <w:rsid w:val="0068795C"/>
    <w:rsid w:val="00687A30"/>
    <w:rsid w:val="00687B34"/>
    <w:rsid w:val="00687BF3"/>
    <w:rsid w:val="00687DF4"/>
    <w:rsid w:val="00687E59"/>
    <w:rsid w:val="006900D7"/>
    <w:rsid w:val="006901C8"/>
    <w:rsid w:val="00690319"/>
    <w:rsid w:val="00690477"/>
    <w:rsid w:val="0069088C"/>
    <w:rsid w:val="00690CE0"/>
    <w:rsid w:val="00690F3B"/>
    <w:rsid w:val="0069101F"/>
    <w:rsid w:val="0069106C"/>
    <w:rsid w:val="0069118A"/>
    <w:rsid w:val="00691230"/>
    <w:rsid w:val="00691249"/>
    <w:rsid w:val="006913A5"/>
    <w:rsid w:val="00691771"/>
    <w:rsid w:val="006917F2"/>
    <w:rsid w:val="006919D5"/>
    <w:rsid w:val="00691AD2"/>
    <w:rsid w:val="00691B50"/>
    <w:rsid w:val="00691CE4"/>
    <w:rsid w:val="00691F28"/>
    <w:rsid w:val="00691F2B"/>
    <w:rsid w:val="006921D6"/>
    <w:rsid w:val="006924B2"/>
    <w:rsid w:val="00692590"/>
    <w:rsid w:val="006926B6"/>
    <w:rsid w:val="00692925"/>
    <w:rsid w:val="00692994"/>
    <w:rsid w:val="00692C8F"/>
    <w:rsid w:val="00692F1D"/>
    <w:rsid w:val="0069310D"/>
    <w:rsid w:val="00693244"/>
    <w:rsid w:val="00693598"/>
    <w:rsid w:val="00693B7D"/>
    <w:rsid w:val="00693EE0"/>
    <w:rsid w:val="006941D3"/>
    <w:rsid w:val="00694286"/>
    <w:rsid w:val="0069443D"/>
    <w:rsid w:val="00694655"/>
    <w:rsid w:val="006948C0"/>
    <w:rsid w:val="00694B24"/>
    <w:rsid w:val="00694B34"/>
    <w:rsid w:val="006953D3"/>
    <w:rsid w:val="00695405"/>
    <w:rsid w:val="00695578"/>
    <w:rsid w:val="006955CC"/>
    <w:rsid w:val="00695722"/>
    <w:rsid w:val="006958B9"/>
    <w:rsid w:val="00695B9D"/>
    <w:rsid w:val="00695C8E"/>
    <w:rsid w:val="00695CE1"/>
    <w:rsid w:val="00695D6C"/>
    <w:rsid w:val="006962BA"/>
    <w:rsid w:val="00696496"/>
    <w:rsid w:val="0069668B"/>
    <w:rsid w:val="006967A3"/>
    <w:rsid w:val="00696A84"/>
    <w:rsid w:val="00696C1D"/>
    <w:rsid w:val="00696E96"/>
    <w:rsid w:val="00697229"/>
    <w:rsid w:val="006979FB"/>
    <w:rsid w:val="00697CA8"/>
    <w:rsid w:val="00697F18"/>
    <w:rsid w:val="00697FCB"/>
    <w:rsid w:val="006A01F8"/>
    <w:rsid w:val="006A02AF"/>
    <w:rsid w:val="006A0342"/>
    <w:rsid w:val="006A03EB"/>
    <w:rsid w:val="006A04FE"/>
    <w:rsid w:val="006A0621"/>
    <w:rsid w:val="006A07AE"/>
    <w:rsid w:val="006A0F45"/>
    <w:rsid w:val="006A0FE2"/>
    <w:rsid w:val="006A1097"/>
    <w:rsid w:val="006A10AA"/>
    <w:rsid w:val="006A18BA"/>
    <w:rsid w:val="006A1950"/>
    <w:rsid w:val="006A1BDD"/>
    <w:rsid w:val="006A1C27"/>
    <w:rsid w:val="006A1DDF"/>
    <w:rsid w:val="006A1E26"/>
    <w:rsid w:val="006A2514"/>
    <w:rsid w:val="006A2612"/>
    <w:rsid w:val="006A26DF"/>
    <w:rsid w:val="006A28BB"/>
    <w:rsid w:val="006A2BB0"/>
    <w:rsid w:val="006A2E3F"/>
    <w:rsid w:val="006A2E5C"/>
    <w:rsid w:val="006A2FA9"/>
    <w:rsid w:val="006A33A4"/>
    <w:rsid w:val="006A353B"/>
    <w:rsid w:val="006A3680"/>
    <w:rsid w:val="006A3791"/>
    <w:rsid w:val="006A37F1"/>
    <w:rsid w:val="006A3DC3"/>
    <w:rsid w:val="006A4593"/>
    <w:rsid w:val="006A4925"/>
    <w:rsid w:val="006A4950"/>
    <w:rsid w:val="006A4BE1"/>
    <w:rsid w:val="006A4CD3"/>
    <w:rsid w:val="006A4E8C"/>
    <w:rsid w:val="006A5062"/>
    <w:rsid w:val="006A5224"/>
    <w:rsid w:val="006A5229"/>
    <w:rsid w:val="006A5315"/>
    <w:rsid w:val="006A5499"/>
    <w:rsid w:val="006A56DA"/>
    <w:rsid w:val="006A5760"/>
    <w:rsid w:val="006A5F25"/>
    <w:rsid w:val="006A6366"/>
    <w:rsid w:val="006A654D"/>
    <w:rsid w:val="006A65C2"/>
    <w:rsid w:val="006A6778"/>
    <w:rsid w:val="006A69FD"/>
    <w:rsid w:val="006A6B0F"/>
    <w:rsid w:val="006A6E69"/>
    <w:rsid w:val="006A6EE4"/>
    <w:rsid w:val="006A6EFE"/>
    <w:rsid w:val="006A6F5D"/>
    <w:rsid w:val="006A7001"/>
    <w:rsid w:val="006A7178"/>
    <w:rsid w:val="006A7186"/>
    <w:rsid w:val="006A718F"/>
    <w:rsid w:val="006A7407"/>
    <w:rsid w:val="006A75D3"/>
    <w:rsid w:val="006A760B"/>
    <w:rsid w:val="006A7D6F"/>
    <w:rsid w:val="006A7D75"/>
    <w:rsid w:val="006A7F1F"/>
    <w:rsid w:val="006A7F91"/>
    <w:rsid w:val="006A7FA6"/>
    <w:rsid w:val="006A7FCD"/>
    <w:rsid w:val="006B0206"/>
    <w:rsid w:val="006B028B"/>
    <w:rsid w:val="006B0392"/>
    <w:rsid w:val="006B0498"/>
    <w:rsid w:val="006B0776"/>
    <w:rsid w:val="006B07F8"/>
    <w:rsid w:val="006B1368"/>
    <w:rsid w:val="006B14DF"/>
    <w:rsid w:val="006B1740"/>
    <w:rsid w:val="006B1C9E"/>
    <w:rsid w:val="006B1E19"/>
    <w:rsid w:val="006B1F6E"/>
    <w:rsid w:val="006B22ED"/>
    <w:rsid w:val="006B2451"/>
    <w:rsid w:val="006B27AE"/>
    <w:rsid w:val="006B2F05"/>
    <w:rsid w:val="006B30A6"/>
    <w:rsid w:val="006B3131"/>
    <w:rsid w:val="006B3214"/>
    <w:rsid w:val="006B3264"/>
    <w:rsid w:val="006B35FC"/>
    <w:rsid w:val="006B3C52"/>
    <w:rsid w:val="006B3F27"/>
    <w:rsid w:val="006B42DC"/>
    <w:rsid w:val="006B4473"/>
    <w:rsid w:val="006B477D"/>
    <w:rsid w:val="006B47F9"/>
    <w:rsid w:val="006B4828"/>
    <w:rsid w:val="006B4888"/>
    <w:rsid w:val="006B4CE6"/>
    <w:rsid w:val="006B5124"/>
    <w:rsid w:val="006B51DB"/>
    <w:rsid w:val="006B51E8"/>
    <w:rsid w:val="006B53F4"/>
    <w:rsid w:val="006B5572"/>
    <w:rsid w:val="006B56A3"/>
    <w:rsid w:val="006B57B7"/>
    <w:rsid w:val="006B5843"/>
    <w:rsid w:val="006B58B4"/>
    <w:rsid w:val="006B5A8B"/>
    <w:rsid w:val="006B5DE3"/>
    <w:rsid w:val="006B64EF"/>
    <w:rsid w:val="006B665F"/>
    <w:rsid w:val="006B6895"/>
    <w:rsid w:val="006B68E8"/>
    <w:rsid w:val="006B6A40"/>
    <w:rsid w:val="006B6CAB"/>
    <w:rsid w:val="006B6F3D"/>
    <w:rsid w:val="006B72AF"/>
    <w:rsid w:val="006B739D"/>
    <w:rsid w:val="006B7743"/>
    <w:rsid w:val="006C02A4"/>
    <w:rsid w:val="006C03EF"/>
    <w:rsid w:val="006C04B4"/>
    <w:rsid w:val="006C0509"/>
    <w:rsid w:val="006C0524"/>
    <w:rsid w:val="006C0577"/>
    <w:rsid w:val="006C07F7"/>
    <w:rsid w:val="006C0AD1"/>
    <w:rsid w:val="006C0EB5"/>
    <w:rsid w:val="006C0F60"/>
    <w:rsid w:val="006C10D4"/>
    <w:rsid w:val="006C1240"/>
    <w:rsid w:val="006C151B"/>
    <w:rsid w:val="006C1764"/>
    <w:rsid w:val="006C1768"/>
    <w:rsid w:val="006C1C31"/>
    <w:rsid w:val="006C1DC6"/>
    <w:rsid w:val="006C1DF3"/>
    <w:rsid w:val="006C1FDA"/>
    <w:rsid w:val="006C2141"/>
    <w:rsid w:val="006C2183"/>
    <w:rsid w:val="006C23B2"/>
    <w:rsid w:val="006C2514"/>
    <w:rsid w:val="006C2595"/>
    <w:rsid w:val="006C2598"/>
    <w:rsid w:val="006C25B9"/>
    <w:rsid w:val="006C2BCF"/>
    <w:rsid w:val="006C2F0D"/>
    <w:rsid w:val="006C359A"/>
    <w:rsid w:val="006C363F"/>
    <w:rsid w:val="006C3933"/>
    <w:rsid w:val="006C396A"/>
    <w:rsid w:val="006C3ABF"/>
    <w:rsid w:val="006C3B0F"/>
    <w:rsid w:val="006C3C8D"/>
    <w:rsid w:val="006C3E21"/>
    <w:rsid w:val="006C420A"/>
    <w:rsid w:val="006C4306"/>
    <w:rsid w:val="006C430F"/>
    <w:rsid w:val="006C447C"/>
    <w:rsid w:val="006C4A0C"/>
    <w:rsid w:val="006C4A4B"/>
    <w:rsid w:val="006C4B74"/>
    <w:rsid w:val="006C4C47"/>
    <w:rsid w:val="006C4E64"/>
    <w:rsid w:val="006C4F7B"/>
    <w:rsid w:val="006C53C2"/>
    <w:rsid w:val="006C5543"/>
    <w:rsid w:val="006C572C"/>
    <w:rsid w:val="006C5787"/>
    <w:rsid w:val="006C5818"/>
    <w:rsid w:val="006C5DAF"/>
    <w:rsid w:val="006C64C1"/>
    <w:rsid w:val="006C651A"/>
    <w:rsid w:val="006C6530"/>
    <w:rsid w:val="006C65A4"/>
    <w:rsid w:val="006C6963"/>
    <w:rsid w:val="006C6978"/>
    <w:rsid w:val="006C6A6C"/>
    <w:rsid w:val="006C6E2E"/>
    <w:rsid w:val="006C6FEA"/>
    <w:rsid w:val="006C707E"/>
    <w:rsid w:val="006C70CE"/>
    <w:rsid w:val="006C725A"/>
    <w:rsid w:val="006C7262"/>
    <w:rsid w:val="006C73CA"/>
    <w:rsid w:val="006C74D1"/>
    <w:rsid w:val="006C789E"/>
    <w:rsid w:val="006C7BAC"/>
    <w:rsid w:val="006C7F7D"/>
    <w:rsid w:val="006D00BA"/>
    <w:rsid w:val="006D014D"/>
    <w:rsid w:val="006D045F"/>
    <w:rsid w:val="006D0785"/>
    <w:rsid w:val="006D080B"/>
    <w:rsid w:val="006D0881"/>
    <w:rsid w:val="006D09CE"/>
    <w:rsid w:val="006D0DA5"/>
    <w:rsid w:val="006D0DBF"/>
    <w:rsid w:val="006D0DC5"/>
    <w:rsid w:val="006D0E71"/>
    <w:rsid w:val="006D0F46"/>
    <w:rsid w:val="006D13B5"/>
    <w:rsid w:val="006D13FE"/>
    <w:rsid w:val="006D1787"/>
    <w:rsid w:val="006D18DB"/>
    <w:rsid w:val="006D1959"/>
    <w:rsid w:val="006D1C0C"/>
    <w:rsid w:val="006D1CAB"/>
    <w:rsid w:val="006D20A5"/>
    <w:rsid w:val="006D26D4"/>
    <w:rsid w:val="006D27D6"/>
    <w:rsid w:val="006D2894"/>
    <w:rsid w:val="006D2920"/>
    <w:rsid w:val="006D29EA"/>
    <w:rsid w:val="006D2BBC"/>
    <w:rsid w:val="006D2CA0"/>
    <w:rsid w:val="006D2D71"/>
    <w:rsid w:val="006D325F"/>
    <w:rsid w:val="006D33A0"/>
    <w:rsid w:val="006D3728"/>
    <w:rsid w:val="006D3D7C"/>
    <w:rsid w:val="006D3FD4"/>
    <w:rsid w:val="006D3FFA"/>
    <w:rsid w:val="006D40F7"/>
    <w:rsid w:val="006D4724"/>
    <w:rsid w:val="006D479C"/>
    <w:rsid w:val="006D487C"/>
    <w:rsid w:val="006D48B6"/>
    <w:rsid w:val="006D4DB2"/>
    <w:rsid w:val="006D4DD6"/>
    <w:rsid w:val="006D5320"/>
    <w:rsid w:val="006D5602"/>
    <w:rsid w:val="006D5612"/>
    <w:rsid w:val="006D58CE"/>
    <w:rsid w:val="006D5D76"/>
    <w:rsid w:val="006D5DD7"/>
    <w:rsid w:val="006D5FF1"/>
    <w:rsid w:val="006D60A7"/>
    <w:rsid w:val="006D60EB"/>
    <w:rsid w:val="006D617C"/>
    <w:rsid w:val="006D61DE"/>
    <w:rsid w:val="006D62DD"/>
    <w:rsid w:val="006D6D6B"/>
    <w:rsid w:val="006D71EC"/>
    <w:rsid w:val="006D738C"/>
    <w:rsid w:val="006D776C"/>
    <w:rsid w:val="006D784A"/>
    <w:rsid w:val="006D7855"/>
    <w:rsid w:val="006D7AF3"/>
    <w:rsid w:val="006D7C39"/>
    <w:rsid w:val="006E05B1"/>
    <w:rsid w:val="006E078F"/>
    <w:rsid w:val="006E0D3B"/>
    <w:rsid w:val="006E109E"/>
    <w:rsid w:val="006E13DB"/>
    <w:rsid w:val="006E141E"/>
    <w:rsid w:val="006E16EE"/>
    <w:rsid w:val="006E1875"/>
    <w:rsid w:val="006E1888"/>
    <w:rsid w:val="006E1914"/>
    <w:rsid w:val="006E191A"/>
    <w:rsid w:val="006E19FB"/>
    <w:rsid w:val="006E1E9F"/>
    <w:rsid w:val="006E1EA7"/>
    <w:rsid w:val="006E1FD7"/>
    <w:rsid w:val="006E205B"/>
    <w:rsid w:val="006E243F"/>
    <w:rsid w:val="006E27EF"/>
    <w:rsid w:val="006E2ADA"/>
    <w:rsid w:val="006E2FCE"/>
    <w:rsid w:val="006E3041"/>
    <w:rsid w:val="006E30AF"/>
    <w:rsid w:val="006E34B6"/>
    <w:rsid w:val="006E3505"/>
    <w:rsid w:val="006E3544"/>
    <w:rsid w:val="006E36B6"/>
    <w:rsid w:val="006E3708"/>
    <w:rsid w:val="006E379A"/>
    <w:rsid w:val="006E3B3B"/>
    <w:rsid w:val="006E4214"/>
    <w:rsid w:val="006E4228"/>
    <w:rsid w:val="006E429D"/>
    <w:rsid w:val="006E45B5"/>
    <w:rsid w:val="006E46FB"/>
    <w:rsid w:val="006E4731"/>
    <w:rsid w:val="006E49E1"/>
    <w:rsid w:val="006E4C6E"/>
    <w:rsid w:val="006E4D34"/>
    <w:rsid w:val="006E4D8A"/>
    <w:rsid w:val="006E4F98"/>
    <w:rsid w:val="006E4F99"/>
    <w:rsid w:val="006E51B7"/>
    <w:rsid w:val="006E522A"/>
    <w:rsid w:val="006E523A"/>
    <w:rsid w:val="006E5559"/>
    <w:rsid w:val="006E5807"/>
    <w:rsid w:val="006E583B"/>
    <w:rsid w:val="006E5938"/>
    <w:rsid w:val="006E59F8"/>
    <w:rsid w:val="006E5A3B"/>
    <w:rsid w:val="006E5F14"/>
    <w:rsid w:val="006E61D6"/>
    <w:rsid w:val="006E64E5"/>
    <w:rsid w:val="006E6665"/>
    <w:rsid w:val="006E6897"/>
    <w:rsid w:val="006E6ADA"/>
    <w:rsid w:val="006E72D6"/>
    <w:rsid w:val="006E7419"/>
    <w:rsid w:val="006E7511"/>
    <w:rsid w:val="006E75F2"/>
    <w:rsid w:val="006E7846"/>
    <w:rsid w:val="006E78B9"/>
    <w:rsid w:val="006E78E4"/>
    <w:rsid w:val="006E7C5C"/>
    <w:rsid w:val="006E7CDD"/>
    <w:rsid w:val="006E7CE9"/>
    <w:rsid w:val="006E7F5C"/>
    <w:rsid w:val="006E7FB0"/>
    <w:rsid w:val="006F0139"/>
    <w:rsid w:val="006F041D"/>
    <w:rsid w:val="006F0BAC"/>
    <w:rsid w:val="006F0EAA"/>
    <w:rsid w:val="006F0EEC"/>
    <w:rsid w:val="006F164A"/>
    <w:rsid w:val="006F1728"/>
    <w:rsid w:val="006F184F"/>
    <w:rsid w:val="006F1855"/>
    <w:rsid w:val="006F1898"/>
    <w:rsid w:val="006F1A0B"/>
    <w:rsid w:val="006F1F19"/>
    <w:rsid w:val="006F2304"/>
    <w:rsid w:val="006F2369"/>
    <w:rsid w:val="006F2CF2"/>
    <w:rsid w:val="006F2F7B"/>
    <w:rsid w:val="006F30B5"/>
    <w:rsid w:val="006F3165"/>
    <w:rsid w:val="006F3484"/>
    <w:rsid w:val="006F3A63"/>
    <w:rsid w:val="006F3A6C"/>
    <w:rsid w:val="006F3D85"/>
    <w:rsid w:val="006F4102"/>
    <w:rsid w:val="006F4153"/>
    <w:rsid w:val="006F45E0"/>
    <w:rsid w:val="006F4872"/>
    <w:rsid w:val="006F4B1A"/>
    <w:rsid w:val="006F5285"/>
    <w:rsid w:val="006F56F7"/>
    <w:rsid w:val="006F5873"/>
    <w:rsid w:val="006F595F"/>
    <w:rsid w:val="006F5A55"/>
    <w:rsid w:val="006F5E15"/>
    <w:rsid w:val="006F5FAE"/>
    <w:rsid w:val="006F60E8"/>
    <w:rsid w:val="006F676A"/>
    <w:rsid w:val="006F6908"/>
    <w:rsid w:val="006F6B7D"/>
    <w:rsid w:val="006F6BF8"/>
    <w:rsid w:val="006F6C76"/>
    <w:rsid w:val="006F6E74"/>
    <w:rsid w:val="006F7023"/>
    <w:rsid w:val="006F703C"/>
    <w:rsid w:val="006F7616"/>
    <w:rsid w:val="006F7771"/>
    <w:rsid w:val="006F7891"/>
    <w:rsid w:val="006F7BAA"/>
    <w:rsid w:val="006F7F94"/>
    <w:rsid w:val="006F7FBC"/>
    <w:rsid w:val="0070060A"/>
    <w:rsid w:val="00700746"/>
    <w:rsid w:val="00700811"/>
    <w:rsid w:val="00700891"/>
    <w:rsid w:val="00700E80"/>
    <w:rsid w:val="00701531"/>
    <w:rsid w:val="007015F5"/>
    <w:rsid w:val="00701B15"/>
    <w:rsid w:val="00701B5D"/>
    <w:rsid w:val="00701B7A"/>
    <w:rsid w:val="00701E2B"/>
    <w:rsid w:val="00702020"/>
    <w:rsid w:val="0070208D"/>
    <w:rsid w:val="0070212B"/>
    <w:rsid w:val="007028A6"/>
    <w:rsid w:val="00702924"/>
    <w:rsid w:val="00702958"/>
    <w:rsid w:val="00702DAE"/>
    <w:rsid w:val="00702FF4"/>
    <w:rsid w:val="007030E6"/>
    <w:rsid w:val="00703454"/>
    <w:rsid w:val="00703773"/>
    <w:rsid w:val="00703968"/>
    <w:rsid w:val="00703B32"/>
    <w:rsid w:val="00703CAB"/>
    <w:rsid w:val="00703F55"/>
    <w:rsid w:val="007043EA"/>
    <w:rsid w:val="0070487B"/>
    <w:rsid w:val="0070492C"/>
    <w:rsid w:val="00704C12"/>
    <w:rsid w:val="0070538D"/>
    <w:rsid w:val="00705461"/>
    <w:rsid w:val="00705529"/>
    <w:rsid w:val="0070555D"/>
    <w:rsid w:val="007055C2"/>
    <w:rsid w:val="00705668"/>
    <w:rsid w:val="0070573F"/>
    <w:rsid w:val="007059AF"/>
    <w:rsid w:val="00705DD9"/>
    <w:rsid w:val="00705E03"/>
    <w:rsid w:val="00705E41"/>
    <w:rsid w:val="00705F85"/>
    <w:rsid w:val="007061DA"/>
    <w:rsid w:val="0070679D"/>
    <w:rsid w:val="007067F7"/>
    <w:rsid w:val="00706944"/>
    <w:rsid w:val="00706E9D"/>
    <w:rsid w:val="00706F98"/>
    <w:rsid w:val="00706FC0"/>
    <w:rsid w:val="007079F0"/>
    <w:rsid w:val="00707A45"/>
    <w:rsid w:val="00707ADD"/>
    <w:rsid w:val="00707CA1"/>
    <w:rsid w:val="00707DFE"/>
    <w:rsid w:val="007100F2"/>
    <w:rsid w:val="00710332"/>
    <w:rsid w:val="00710454"/>
    <w:rsid w:val="007107C7"/>
    <w:rsid w:val="00710912"/>
    <w:rsid w:val="00710934"/>
    <w:rsid w:val="00710C03"/>
    <w:rsid w:val="00710C44"/>
    <w:rsid w:val="00710C5B"/>
    <w:rsid w:val="00710D14"/>
    <w:rsid w:val="00710E42"/>
    <w:rsid w:val="0071107F"/>
    <w:rsid w:val="007113A1"/>
    <w:rsid w:val="00711998"/>
    <w:rsid w:val="00711AB1"/>
    <w:rsid w:val="00711D3C"/>
    <w:rsid w:val="00711D7D"/>
    <w:rsid w:val="00711E1B"/>
    <w:rsid w:val="0071201D"/>
    <w:rsid w:val="007121CD"/>
    <w:rsid w:val="007124F0"/>
    <w:rsid w:val="00712522"/>
    <w:rsid w:val="007125AF"/>
    <w:rsid w:val="00712629"/>
    <w:rsid w:val="0071270C"/>
    <w:rsid w:val="007129C8"/>
    <w:rsid w:val="00712B72"/>
    <w:rsid w:val="0071335C"/>
    <w:rsid w:val="0071336E"/>
    <w:rsid w:val="00713413"/>
    <w:rsid w:val="00713E43"/>
    <w:rsid w:val="00713F85"/>
    <w:rsid w:val="0071405A"/>
    <w:rsid w:val="00714256"/>
    <w:rsid w:val="007142A9"/>
    <w:rsid w:val="0071442F"/>
    <w:rsid w:val="0071443D"/>
    <w:rsid w:val="00714458"/>
    <w:rsid w:val="007145C8"/>
    <w:rsid w:val="0071464E"/>
    <w:rsid w:val="0071474F"/>
    <w:rsid w:val="0071490B"/>
    <w:rsid w:val="00714DA3"/>
    <w:rsid w:val="00714E84"/>
    <w:rsid w:val="007150D2"/>
    <w:rsid w:val="007151B5"/>
    <w:rsid w:val="00715323"/>
    <w:rsid w:val="0071578F"/>
    <w:rsid w:val="00715A75"/>
    <w:rsid w:val="00715ACA"/>
    <w:rsid w:val="00715C27"/>
    <w:rsid w:val="00715D3F"/>
    <w:rsid w:val="00715D83"/>
    <w:rsid w:val="00716085"/>
    <w:rsid w:val="00716150"/>
    <w:rsid w:val="00716448"/>
    <w:rsid w:val="007167A4"/>
    <w:rsid w:val="0071685B"/>
    <w:rsid w:val="007168A7"/>
    <w:rsid w:val="0071694D"/>
    <w:rsid w:val="00716D0C"/>
    <w:rsid w:val="00716D80"/>
    <w:rsid w:val="00716EAA"/>
    <w:rsid w:val="00717109"/>
    <w:rsid w:val="007171D6"/>
    <w:rsid w:val="007171DD"/>
    <w:rsid w:val="0071748B"/>
    <w:rsid w:val="007177F0"/>
    <w:rsid w:val="00717D0C"/>
    <w:rsid w:val="00717EE1"/>
    <w:rsid w:val="00717FCC"/>
    <w:rsid w:val="007202E8"/>
    <w:rsid w:val="007202FC"/>
    <w:rsid w:val="00720329"/>
    <w:rsid w:val="00720415"/>
    <w:rsid w:val="0072050F"/>
    <w:rsid w:val="00720575"/>
    <w:rsid w:val="0072062C"/>
    <w:rsid w:val="007206D5"/>
    <w:rsid w:val="00720A00"/>
    <w:rsid w:val="00720D28"/>
    <w:rsid w:val="00721094"/>
    <w:rsid w:val="00721200"/>
    <w:rsid w:val="00721378"/>
    <w:rsid w:val="007213BE"/>
    <w:rsid w:val="00721823"/>
    <w:rsid w:val="00721942"/>
    <w:rsid w:val="00721AE1"/>
    <w:rsid w:val="00721C3B"/>
    <w:rsid w:val="00721DA8"/>
    <w:rsid w:val="0072222B"/>
    <w:rsid w:val="007222E8"/>
    <w:rsid w:val="0072274E"/>
    <w:rsid w:val="00722867"/>
    <w:rsid w:val="00722E7B"/>
    <w:rsid w:val="00722F7B"/>
    <w:rsid w:val="007232BC"/>
    <w:rsid w:val="0072333D"/>
    <w:rsid w:val="0072334C"/>
    <w:rsid w:val="00723429"/>
    <w:rsid w:val="007236FA"/>
    <w:rsid w:val="00723733"/>
    <w:rsid w:val="00723B9E"/>
    <w:rsid w:val="00723F43"/>
    <w:rsid w:val="00724156"/>
    <w:rsid w:val="007245D0"/>
    <w:rsid w:val="007245E2"/>
    <w:rsid w:val="00724639"/>
    <w:rsid w:val="00724798"/>
    <w:rsid w:val="00724884"/>
    <w:rsid w:val="0072512F"/>
    <w:rsid w:val="00725260"/>
    <w:rsid w:val="007252EA"/>
    <w:rsid w:val="00725438"/>
    <w:rsid w:val="00726158"/>
    <w:rsid w:val="0072627E"/>
    <w:rsid w:val="007264CC"/>
    <w:rsid w:val="00726630"/>
    <w:rsid w:val="007266CF"/>
    <w:rsid w:val="00726A9F"/>
    <w:rsid w:val="00726EFD"/>
    <w:rsid w:val="00727509"/>
    <w:rsid w:val="00727536"/>
    <w:rsid w:val="00727747"/>
    <w:rsid w:val="00727B99"/>
    <w:rsid w:val="00727C56"/>
    <w:rsid w:val="00727E3B"/>
    <w:rsid w:val="00730140"/>
    <w:rsid w:val="00730148"/>
    <w:rsid w:val="00730406"/>
    <w:rsid w:val="007305CC"/>
    <w:rsid w:val="0073075A"/>
    <w:rsid w:val="00730889"/>
    <w:rsid w:val="00730A7E"/>
    <w:rsid w:val="00730B7B"/>
    <w:rsid w:val="007310A2"/>
    <w:rsid w:val="007310C7"/>
    <w:rsid w:val="007311BA"/>
    <w:rsid w:val="007311E4"/>
    <w:rsid w:val="00731411"/>
    <w:rsid w:val="007316DF"/>
    <w:rsid w:val="00731A62"/>
    <w:rsid w:val="00731B7E"/>
    <w:rsid w:val="00731FA9"/>
    <w:rsid w:val="00732053"/>
    <w:rsid w:val="0073226F"/>
    <w:rsid w:val="0073282F"/>
    <w:rsid w:val="00732930"/>
    <w:rsid w:val="00732A71"/>
    <w:rsid w:val="00732F3D"/>
    <w:rsid w:val="0073335E"/>
    <w:rsid w:val="0073347A"/>
    <w:rsid w:val="007334E4"/>
    <w:rsid w:val="00733572"/>
    <w:rsid w:val="007338AB"/>
    <w:rsid w:val="007338DA"/>
    <w:rsid w:val="00733931"/>
    <w:rsid w:val="00733E02"/>
    <w:rsid w:val="00733EFA"/>
    <w:rsid w:val="00734128"/>
    <w:rsid w:val="00734378"/>
    <w:rsid w:val="007344BE"/>
    <w:rsid w:val="0073495D"/>
    <w:rsid w:val="00734AD3"/>
    <w:rsid w:val="00734B54"/>
    <w:rsid w:val="00734E0F"/>
    <w:rsid w:val="00735050"/>
    <w:rsid w:val="007352FE"/>
    <w:rsid w:val="0073531F"/>
    <w:rsid w:val="00735898"/>
    <w:rsid w:val="00735B18"/>
    <w:rsid w:val="00735CBA"/>
    <w:rsid w:val="00735CD3"/>
    <w:rsid w:val="00735DF2"/>
    <w:rsid w:val="00736041"/>
    <w:rsid w:val="00736193"/>
    <w:rsid w:val="00736283"/>
    <w:rsid w:val="00736529"/>
    <w:rsid w:val="0073696A"/>
    <w:rsid w:val="00736A0A"/>
    <w:rsid w:val="00736AE8"/>
    <w:rsid w:val="00736D1C"/>
    <w:rsid w:val="00737067"/>
    <w:rsid w:val="007375E0"/>
    <w:rsid w:val="00737642"/>
    <w:rsid w:val="007377CC"/>
    <w:rsid w:val="007378D3"/>
    <w:rsid w:val="007379E0"/>
    <w:rsid w:val="00737BFB"/>
    <w:rsid w:val="00740022"/>
    <w:rsid w:val="007403FF"/>
    <w:rsid w:val="007409E8"/>
    <w:rsid w:val="00740FE8"/>
    <w:rsid w:val="007412C2"/>
    <w:rsid w:val="00741488"/>
    <w:rsid w:val="007416FF"/>
    <w:rsid w:val="00741766"/>
    <w:rsid w:val="00741882"/>
    <w:rsid w:val="00741E38"/>
    <w:rsid w:val="00741F8A"/>
    <w:rsid w:val="0074204C"/>
    <w:rsid w:val="00742241"/>
    <w:rsid w:val="0074265A"/>
    <w:rsid w:val="00742825"/>
    <w:rsid w:val="00742A44"/>
    <w:rsid w:val="00742F8A"/>
    <w:rsid w:val="0074314F"/>
    <w:rsid w:val="0074319F"/>
    <w:rsid w:val="007431D7"/>
    <w:rsid w:val="007433D7"/>
    <w:rsid w:val="007434AC"/>
    <w:rsid w:val="0074375D"/>
    <w:rsid w:val="0074386C"/>
    <w:rsid w:val="00743B3D"/>
    <w:rsid w:val="00743CA4"/>
    <w:rsid w:val="00743D60"/>
    <w:rsid w:val="00743DDB"/>
    <w:rsid w:val="00743E77"/>
    <w:rsid w:val="00743F1E"/>
    <w:rsid w:val="00744130"/>
    <w:rsid w:val="007442DC"/>
    <w:rsid w:val="0074496A"/>
    <w:rsid w:val="00744CDF"/>
    <w:rsid w:val="0074523F"/>
    <w:rsid w:val="00745355"/>
    <w:rsid w:val="0074542B"/>
    <w:rsid w:val="00745575"/>
    <w:rsid w:val="00745909"/>
    <w:rsid w:val="00745BC0"/>
    <w:rsid w:val="00745CC2"/>
    <w:rsid w:val="00745DC3"/>
    <w:rsid w:val="00745E90"/>
    <w:rsid w:val="007462B4"/>
    <w:rsid w:val="00746333"/>
    <w:rsid w:val="00746440"/>
    <w:rsid w:val="007464C8"/>
    <w:rsid w:val="00746B1F"/>
    <w:rsid w:val="00746B69"/>
    <w:rsid w:val="00746BA7"/>
    <w:rsid w:val="00746BCB"/>
    <w:rsid w:val="00747599"/>
    <w:rsid w:val="00747692"/>
    <w:rsid w:val="007478DE"/>
    <w:rsid w:val="00747CF9"/>
    <w:rsid w:val="00747D3D"/>
    <w:rsid w:val="00747DCD"/>
    <w:rsid w:val="00747F0C"/>
    <w:rsid w:val="0075049C"/>
    <w:rsid w:val="0075058D"/>
    <w:rsid w:val="00750ED0"/>
    <w:rsid w:val="0075135E"/>
    <w:rsid w:val="00751533"/>
    <w:rsid w:val="007515CC"/>
    <w:rsid w:val="007519A3"/>
    <w:rsid w:val="00751B22"/>
    <w:rsid w:val="00751DCE"/>
    <w:rsid w:val="00751E00"/>
    <w:rsid w:val="00751FEA"/>
    <w:rsid w:val="0075204E"/>
    <w:rsid w:val="007520A2"/>
    <w:rsid w:val="007525D0"/>
    <w:rsid w:val="007527CA"/>
    <w:rsid w:val="007527DF"/>
    <w:rsid w:val="007529E9"/>
    <w:rsid w:val="00752ED0"/>
    <w:rsid w:val="00752FEC"/>
    <w:rsid w:val="00753465"/>
    <w:rsid w:val="007538ED"/>
    <w:rsid w:val="00754262"/>
    <w:rsid w:val="00754281"/>
    <w:rsid w:val="007542A5"/>
    <w:rsid w:val="007542FD"/>
    <w:rsid w:val="0075446F"/>
    <w:rsid w:val="007546BD"/>
    <w:rsid w:val="007549EB"/>
    <w:rsid w:val="007549F0"/>
    <w:rsid w:val="00754BDE"/>
    <w:rsid w:val="00754EFC"/>
    <w:rsid w:val="007552BE"/>
    <w:rsid w:val="0075560B"/>
    <w:rsid w:val="0075566F"/>
    <w:rsid w:val="00755BD0"/>
    <w:rsid w:val="00756018"/>
    <w:rsid w:val="00756084"/>
    <w:rsid w:val="0075619E"/>
    <w:rsid w:val="00756237"/>
    <w:rsid w:val="00756352"/>
    <w:rsid w:val="00756396"/>
    <w:rsid w:val="0075692C"/>
    <w:rsid w:val="00756C73"/>
    <w:rsid w:val="00756D6E"/>
    <w:rsid w:val="00756E94"/>
    <w:rsid w:val="00757004"/>
    <w:rsid w:val="007572AE"/>
    <w:rsid w:val="007575F6"/>
    <w:rsid w:val="007576CC"/>
    <w:rsid w:val="00757788"/>
    <w:rsid w:val="00757D47"/>
    <w:rsid w:val="00757F21"/>
    <w:rsid w:val="00757FC7"/>
    <w:rsid w:val="00760550"/>
    <w:rsid w:val="007605F6"/>
    <w:rsid w:val="00760B7B"/>
    <w:rsid w:val="00760CF5"/>
    <w:rsid w:val="00760DCB"/>
    <w:rsid w:val="00761077"/>
    <w:rsid w:val="0076109A"/>
    <w:rsid w:val="007610C5"/>
    <w:rsid w:val="007613EF"/>
    <w:rsid w:val="00761553"/>
    <w:rsid w:val="00761D7B"/>
    <w:rsid w:val="00761DA8"/>
    <w:rsid w:val="00761EDB"/>
    <w:rsid w:val="00761F41"/>
    <w:rsid w:val="0076200C"/>
    <w:rsid w:val="00762046"/>
    <w:rsid w:val="00762056"/>
    <w:rsid w:val="00762187"/>
    <w:rsid w:val="0076228F"/>
    <w:rsid w:val="007627EE"/>
    <w:rsid w:val="00762CC4"/>
    <w:rsid w:val="007630EE"/>
    <w:rsid w:val="007635B4"/>
    <w:rsid w:val="00763BC5"/>
    <w:rsid w:val="00763E06"/>
    <w:rsid w:val="00763E3E"/>
    <w:rsid w:val="007641A4"/>
    <w:rsid w:val="00764894"/>
    <w:rsid w:val="00764919"/>
    <w:rsid w:val="0076493E"/>
    <w:rsid w:val="00764AF1"/>
    <w:rsid w:val="00764C3D"/>
    <w:rsid w:val="00764C94"/>
    <w:rsid w:val="00765135"/>
    <w:rsid w:val="007651FA"/>
    <w:rsid w:val="0076526E"/>
    <w:rsid w:val="007652C1"/>
    <w:rsid w:val="00765316"/>
    <w:rsid w:val="0076558B"/>
    <w:rsid w:val="00765702"/>
    <w:rsid w:val="00765D2D"/>
    <w:rsid w:val="00765E2B"/>
    <w:rsid w:val="00765FBC"/>
    <w:rsid w:val="00765FF9"/>
    <w:rsid w:val="0076619D"/>
    <w:rsid w:val="007662C4"/>
    <w:rsid w:val="0076686F"/>
    <w:rsid w:val="00766A9B"/>
    <w:rsid w:val="00766C18"/>
    <w:rsid w:val="00766C1E"/>
    <w:rsid w:val="00766D14"/>
    <w:rsid w:val="00766E4D"/>
    <w:rsid w:val="00767133"/>
    <w:rsid w:val="007674FF"/>
    <w:rsid w:val="0076754A"/>
    <w:rsid w:val="0076756A"/>
    <w:rsid w:val="007675B5"/>
    <w:rsid w:val="00767A5D"/>
    <w:rsid w:val="00767B96"/>
    <w:rsid w:val="007700B5"/>
    <w:rsid w:val="00770689"/>
    <w:rsid w:val="00770889"/>
    <w:rsid w:val="00770A6B"/>
    <w:rsid w:val="00770B1E"/>
    <w:rsid w:val="00770CCC"/>
    <w:rsid w:val="00770D9D"/>
    <w:rsid w:val="007710B0"/>
    <w:rsid w:val="007712C5"/>
    <w:rsid w:val="00771357"/>
    <w:rsid w:val="007713D8"/>
    <w:rsid w:val="007717EA"/>
    <w:rsid w:val="00772075"/>
    <w:rsid w:val="0077245E"/>
    <w:rsid w:val="007725AC"/>
    <w:rsid w:val="00772718"/>
    <w:rsid w:val="0077279C"/>
    <w:rsid w:val="007728F8"/>
    <w:rsid w:val="00772AF1"/>
    <w:rsid w:val="00772C8D"/>
    <w:rsid w:val="00772F1F"/>
    <w:rsid w:val="00772FEE"/>
    <w:rsid w:val="0077354C"/>
    <w:rsid w:val="00773553"/>
    <w:rsid w:val="00773745"/>
    <w:rsid w:val="007737DF"/>
    <w:rsid w:val="00773944"/>
    <w:rsid w:val="007739D6"/>
    <w:rsid w:val="00773A00"/>
    <w:rsid w:val="00773A59"/>
    <w:rsid w:val="00773BB6"/>
    <w:rsid w:val="00773CE0"/>
    <w:rsid w:val="00773DE9"/>
    <w:rsid w:val="00774083"/>
    <w:rsid w:val="007742BC"/>
    <w:rsid w:val="00774454"/>
    <w:rsid w:val="00774581"/>
    <w:rsid w:val="0077472F"/>
    <w:rsid w:val="00774B75"/>
    <w:rsid w:val="00774BD8"/>
    <w:rsid w:val="00774C63"/>
    <w:rsid w:val="00774CF2"/>
    <w:rsid w:val="0077504B"/>
    <w:rsid w:val="007751CF"/>
    <w:rsid w:val="007756ED"/>
    <w:rsid w:val="00775D3E"/>
    <w:rsid w:val="00775DA3"/>
    <w:rsid w:val="00775E21"/>
    <w:rsid w:val="00775E6F"/>
    <w:rsid w:val="00775F71"/>
    <w:rsid w:val="00776033"/>
    <w:rsid w:val="00776188"/>
    <w:rsid w:val="007763CE"/>
    <w:rsid w:val="0077651A"/>
    <w:rsid w:val="0077651B"/>
    <w:rsid w:val="0077661B"/>
    <w:rsid w:val="00776667"/>
    <w:rsid w:val="007766CC"/>
    <w:rsid w:val="007768F2"/>
    <w:rsid w:val="00776CCC"/>
    <w:rsid w:val="00776FFC"/>
    <w:rsid w:val="007771A6"/>
    <w:rsid w:val="007771CD"/>
    <w:rsid w:val="0077727D"/>
    <w:rsid w:val="007772B7"/>
    <w:rsid w:val="0077730F"/>
    <w:rsid w:val="00777884"/>
    <w:rsid w:val="00777922"/>
    <w:rsid w:val="00777952"/>
    <w:rsid w:val="007779FC"/>
    <w:rsid w:val="00777A97"/>
    <w:rsid w:val="00777AC1"/>
    <w:rsid w:val="00777AC7"/>
    <w:rsid w:val="00777B4A"/>
    <w:rsid w:val="00777BF7"/>
    <w:rsid w:val="00777DD7"/>
    <w:rsid w:val="00777FFB"/>
    <w:rsid w:val="007801D2"/>
    <w:rsid w:val="00780235"/>
    <w:rsid w:val="00780330"/>
    <w:rsid w:val="007803AF"/>
    <w:rsid w:val="007804B5"/>
    <w:rsid w:val="0078068E"/>
    <w:rsid w:val="00780781"/>
    <w:rsid w:val="007808EF"/>
    <w:rsid w:val="00780B81"/>
    <w:rsid w:val="00780D7A"/>
    <w:rsid w:val="00780EE1"/>
    <w:rsid w:val="00781320"/>
    <w:rsid w:val="007815FC"/>
    <w:rsid w:val="00781675"/>
    <w:rsid w:val="00781811"/>
    <w:rsid w:val="00781AC7"/>
    <w:rsid w:val="00781BBF"/>
    <w:rsid w:val="00781CE5"/>
    <w:rsid w:val="0078206A"/>
    <w:rsid w:val="007820BC"/>
    <w:rsid w:val="0078238B"/>
    <w:rsid w:val="00782BA6"/>
    <w:rsid w:val="00782CCD"/>
    <w:rsid w:val="00782DCB"/>
    <w:rsid w:val="0078305E"/>
    <w:rsid w:val="0078354E"/>
    <w:rsid w:val="0078364F"/>
    <w:rsid w:val="00783794"/>
    <w:rsid w:val="0078393C"/>
    <w:rsid w:val="0078394C"/>
    <w:rsid w:val="007839DD"/>
    <w:rsid w:val="00783A32"/>
    <w:rsid w:val="00783E2B"/>
    <w:rsid w:val="00784199"/>
    <w:rsid w:val="00784202"/>
    <w:rsid w:val="0078498D"/>
    <w:rsid w:val="00784BCE"/>
    <w:rsid w:val="00784E6A"/>
    <w:rsid w:val="00785246"/>
    <w:rsid w:val="00785444"/>
    <w:rsid w:val="007854CF"/>
    <w:rsid w:val="00785506"/>
    <w:rsid w:val="0078569D"/>
    <w:rsid w:val="00785830"/>
    <w:rsid w:val="00785897"/>
    <w:rsid w:val="00785943"/>
    <w:rsid w:val="00785CCE"/>
    <w:rsid w:val="00785E61"/>
    <w:rsid w:val="00785EC5"/>
    <w:rsid w:val="00786105"/>
    <w:rsid w:val="00786299"/>
    <w:rsid w:val="00786460"/>
    <w:rsid w:val="00786A99"/>
    <w:rsid w:val="00786D20"/>
    <w:rsid w:val="00786D81"/>
    <w:rsid w:val="00787112"/>
    <w:rsid w:val="0078719B"/>
    <w:rsid w:val="007873CC"/>
    <w:rsid w:val="007879E3"/>
    <w:rsid w:val="00787B21"/>
    <w:rsid w:val="00787E63"/>
    <w:rsid w:val="0079031F"/>
    <w:rsid w:val="0079046D"/>
    <w:rsid w:val="007904F7"/>
    <w:rsid w:val="00790512"/>
    <w:rsid w:val="00790AF5"/>
    <w:rsid w:val="00790C1E"/>
    <w:rsid w:val="00790CC2"/>
    <w:rsid w:val="00790CCD"/>
    <w:rsid w:val="00790CE6"/>
    <w:rsid w:val="00790CEA"/>
    <w:rsid w:val="00790D27"/>
    <w:rsid w:val="007910E6"/>
    <w:rsid w:val="0079112B"/>
    <w:rsid w:val="007913D9"/>
    <w:rsid w:val="0079167F"/>
    <w:rsid w:val="007917B6"/>
    <w:rsid w:val="00791A13"/>
    <w:rsid w:val="00791D06"/>
    <w:rsid w:val="00791DD0"/>
    <w:rsid w:val="007921DD"/>
    <w:rsid w:val="00792301"/>
    <w:rsid w:val="00792502"/>
    <w:rsid w:val="0079270E"/>
    <w:rsid w:val="00792AAE"/>
    <w:rsid w:val="00792B78"/>
    <w:rsid w:val="00792CA5"/>
    <w:rsid w:val="00793170"/>
    <w:rsid w:val="0079321A"/>
    <w:rsid w:val="00793258"/>
    <w:rsid w:val="00793528"/>
    <w:rsid w:val="007935C9"/>
    <w:rsid w:val="007935E6"/>
    <w:rsid w:val="007936E1"/>
    <w:rsid w:val="00793A54"/>
    <w:rsid w:val="00793CD9"/>
    <w:rsid w:val="00793DFB"/>
    <w:rsid w:val="00793F02"/>
    <w:rsid w:val="0079401B"/>
    <w:rsid w:val="00794108"/>
    <w:rsid w:val="00794171"/>
    <w:rsid w:val="00794474"/>
    <w:rsid w:val="007946D5"/>
    <w:rsid w:val="00794814"/>
    <w:rsid w:val="0079495D"/>
    <w:rsid w:val="00794A5A"/>
    <w:rsid w:val="00794CF8"/>
    <w:rsid w:val="00794E42"/>
    <w:rsid w:val="007953EC"/>
    <w:rsid w:val="007953FC"/>
    <w:rsid w:val="00795889"/>
    <w:rsid w:val="00795892"/>
    <w:rsid w:val="00795B42"/>
    <w:rsid w:val="00795C51"/>
    <w:rsid w:val="00795D2B"/>
    <w:rsid w:val="00795EDE"/>
    <w:rsid w:val="007961CD"/>
    <w:rsid w:val="007962CF"/>
    <w:rsid w:val="00796394"/>
    <w:rsid w:val="0079695D"/>
    <w:rsid w:val="007969AE"/>
    <w:rsid w:val="00796AE8"/>
    <w:rsid w:val="00796B1C"/>
    <w:rsid w:val="00796C8B"/>
    <w:rsid w:val="00796D03"/>
    <w:rsid w:val="00796DB1"/>
    <w:rsid w:val="007970AD"/>
    <w:rsid w:val="007972D4"/>
    <w:rsid w:val="007972FB"/>
    <w:rsid w:val="00797413"/>
    <w:rsid w:val="007977EA"/>
    <w:rsid w:val="00797A1A"/>
    <w:rsid w:val="00797C6D"/>
    <w:rsid w:val="00797CD7"/>
    <w:rsid w:val="00797E12"/>
    <w:rsid w:val="00797E36"/>
    <w:rsid w:val="00797F9D"/>
    <w:rsid w:val="007A03B7"/>
    <w:rsid w:val="007A059A"/>
    <w:rsid w:val="007A062D"/>
    <w:rsid w:val="007A063E"/>
    <w:rsid w:val="007A0970"/>
    <w:rsid w:val="007A09B7"/>
    <w:rsid w:val="007A0E7E"/>
    <w:rsid w:val="007A0EFE"/>
    <w:rsid w:val="007A0EFF"/>
    <w:rsid w:val="007A1213"/>
    <w:rsid w:val="007A1404"/>
    <w:rsid w:val="007A1470"/>
    <w:rsid w:val="007A1663"/>
    <w:rsid w:val="007A16FD"/>
    <w:rsid w:val="007A1EA9"/>
    <w:rsid w:val="007A22F1"/>
    <w:rsid w:val="007A2610"/>
    <w:rsid w:val="007A26A1"/>
    <w:rsid w:val="007A2A00"/>
    <w:rsid w:val="007A2B7E"/>
    <w:rsid w:val="007A2BFF"/>
    <w:rsid w:val="007A2C56"/>
    <w:rsid w:val="007A2E43"/>
    <w:rsid w:val="007A2FA0"/>
    <w:rsid w:val="007A313B"/>
    <w:rsid w:val="007A31F8"/>
    <w:rsid w:val="007A3724"/>
    <w:rsid w:val="007A3762"/>
    <w:rsid w:val="007A3CA3"/>
    <w:rsid w:val="007A4020"/>
    <w:rsid w:val="007A4216"/>
    <w:rsid w:val="007A4383"/>
    <w:rsid w:val="007A43BA"/>
    <w:rsid w:val="007A447F"/>
    <w:rsid w:val="007A4506"/>
    <w:rsid w:val="007A488E"/>
    <w:rsid w:val="007A4A13"/>
    <w:rsid w:val="007A4F9D"/>
    <w:rsid w:val="007A5256"/>
    <w:rsid w:val="007A5350"/>
    <w:rsid w:val="007A5367"/>
    <w:rsid w:val="007A5718"/>
    <w:rsid w:val="007A5908"/>
    <w:rsid w:val="007A5C42"/>
    <w:rsid w:val="007A6199"/>
    <w:rsid w:val="007A6308"/>
    <w:rsid w:val="007A6390"/>
    <w:rsid w:val="007A6D83"/>
    <w:rsid w:val="007A7106"/>
    <w:rsid w:val="007A7240"/>
    <w:rsid w:val="007A76B4"/>
    <w:rsid w:val="007A7916"/>
    <w:rsid w:val="007A7CF9"/>
    <w:rsid w:val="007A7D29"/>
    <w:rsid w:val="007A7D46"/>
    <w:rsid w:val="007A7EFD"/>
    <w:rsid w:val="007B0192"/>
    <w:rsid w:val="007B04C3"/>
    <w:rsid w:val="007B0541"/>
    <w:rsid w:val="007B0CF2"/>
    <w:rsid w:val="007B0D83"/>
    <w:rsid w:val="007B0E5D"/>
    <w:rsid w:val="007B0ED2"/>
    <w:rsid w:val="007B0ED8"/>
    <w:rsid w:val="007B102F"/>
    <w:rsid w:val="007B110B"/>
    <w:rsid w:val="007B147B"/>
    <w:rsid w:val="007B1A48"/>
    <w:rsid w:val="007B1B4D"/>
    <w:rsid w:val="007B1E16"/>
    <w:rsid w:val="007B217A"/>
    <w:rsid w:val="007B21D4"/>
    <w:rsid w:val="007B2202"/>
    <w:rsid w:val="007B22A1"/>
    <w:rsid w:val="007B230D"/>
    <w:rsid w:val="007B2788"/>
    <w:rsid w:val="007B2994"/>
    <w:rsid w:val="007B2A34"/>
    <w:rsid w:val="007B2AF0"/>
    <w:rsid w:val="007B2B0A"/>
    <w:rsid w:val="007B2D0A"/>
    <w:rsid w:val="007B2D63"/>
    <w:rsid w:val="007B311A"/>
    <w:rsid w:val="007B323A"/>
    <w:rsid w:val="007B33EB"/>
    <w:rsid w:val="007B37AA"/>
    <w:rsid w:val="007B4284"/>
    <w:rsid w:val="007B44AA"/>
    <w:rsid w:val="007B45C8"/>
    <w:rsid w:val="007B47E2"/>
    <w:rsid w:val="007B4A0E"/>
    <w:rsid w:val="007B4C46"/>
    <w:rsid w:val="007B4E85"/>
    <w:rsid w:val="007B53E7"/>
    <w:rsid w:val="007B5477"/>
    <w:rsid w:val="007B55AD"/>
    <w:rsid w:val="007B569C"/>
    <w:rsid w:val="007B58E0"/>
    <w:rsid w:val="007B5A07"/>
    <w:rsid w:val="007B5ADF"/>
    <w:rsid w:val="007B6028"/>
    <w:rsid w:val="007B61C9"/>
    <w:rsid w:val="007B6DC1"/>
    <w:rsid w:val="007B6F8B"/>
    <w:rsid w:val="007B7307"/>
    <w:rsid w:val="007B755C"/>
    <w:rsid w:val="007B7665"/>
    <w:rsid w:val="007B7783"/>
    <w:rsid w:val="007B77C3"/>
    <w:rsid w:val="007B7812"/>
    <w:rsid w:val="007B798D"/>
    <w:rsid w:val="007B7A38"/>
    <w:rsid w:val="007B7AAA"/>
    <w:rsid w:val="007B7AF5"/>
    <w:rsid w:val="007B7B7A"/>
    <w:rsid w:val="007B7CF7"/>
    <w:rsid w:val="007B7E79"/>
    <w:rsid w:val="007B7F33"/>
    <w:rsid w:val="007C00E0"/>
    <w:rsid w:val="007C0346"/>
    <w:rsid w:val="007C08C6"/>
    <w:rsid w:val="007C0B30"/>
    <w:rsid w:val="007C0E0E"/>
    <w:rsid w:val="007C0F1A"/>
    <w:rsid w:val="007C0FEB"/>
    <w:rsid w:val="007C150C"/>
    <w:rsid w:val="007C1592"/>
    <w:rsid w:val="007C18E3"/>
    <w:rsid w:val="007C1AE8"/>
    <w:rsid w:val="007C1C15"/>
    <w:rsid w:val="007C1C4F"/>
    <w:rsid w:val="007C1C93"/>
    <w:rsid w:val="007C1E03"/>
    <w:rsid w:val="007C1ED7"/>
    <w:rsid w:val="007C1FF4"/>
    <w:rsid w:val="007C2018"/>
    <w:rsid w:val="007C2063"/>
    <w:rsid w:val="007C23B6"/>
    <w:rsid w:val="007C25F0"/>
    <w:rsid w:val="007C2716"/>
    <w:rsid w:val="007C280A"/>
    <w:rsid w:val="007C280C"/>
    <w:rsid w:val="007C299E"/>
    <w:rsid w:val="007C2E52"/>
    <w:rsid w:val="007C2E67"/>
    <w:rsid w:val="007C357E"/>
    <w:rsid w:val="007C35B2"/>
    <w:rsid w:val="007C36B5"/>
    <w:rsid w:val="007C378D"/>
    <w:rsid w:val="007C37C0"/>
    <w:rsid w:val="007C3AD0"/>
    <w:rsid w:val="007C42E7"/>
    <w:rsid w:val="007C4619"/>
    <w:rsid w:val="007C49FB"/>
    <w:rsid w:val="007C4A97"/>
    <w:rsid w:val="007C4BA6"/>
    <w:rsid w:val="007C4F16"/>
    <w:rsid w:val="007C4F9F"/>
    <w:rsid w:val="007C54AD"/>
    <w:rsid w:val="007C556E"/>
    <w:rsid w:val="007C564C"/>
    <w:rsid w:val="007C57D9"/>
    <w:rsid w:val="007C5A4C"/>
    <w:rsid w:val="007C5B84"/>
    <w:rsid w:val="007C5BC2"/>
    <w:rsid w:val="007C5E18"/>
    <w:rsid w:val="007C5FD9"/>
    <w:rsid w:val="007C615D"/>
    <w:rsid w:val="007C61A8"/>
    <w:rsid w:val="007C6271"/>
    <w:rsid w:val="007C64E0"/>
    <w:rsid w:val="007C66C3"/>
    <w:rsid w:val="007C6855"/>
    <w:rsid w:val="007C6A85"/>
    <w:rsid w:val="007C6BCF"/>
    <w:rsid w:val="007C6E09"/>
    <w:rsid w:val="007C6FD3"/>
    <w:rsid w:val="007C7074"/>
    <w:rsid w:val="007C71B4"/>
    <w:rsid w:val="007C779F"/>
    <w:rsid w:val="007C7918"/>
    <w:rsid w:val="007C7D8A"/>
    <w:rsid w:val="007D0277"/>
    <w:rsid w:val="007D06B7"/>
    <w:rsid w:val="007D07C5"/>
    <w:rsid w:val="007D0C68"/>
    <w:rsid w:val="007D0D89"/>
    <w:rsid w:val="007D0F98"/>
    <w:rsid w:val="007D1129"/>
    <w:rsid w:val="007D1758"/>
    <w:rsid w:val="007D18AF"/>
    <w:rsid w:val="007D2527"/>
    <w:rsid w:val="007D2593"/>
    <w:rsid w:val="007D2653"/>
    <w:rsid w:val="007D275F"/>
    <w:rsid w:val="007D27AE"/>
    <w:rsid w:val="007D27CD"/>
    <w:rsid w:val="007D2B34"/>
    <w:rsid w:val="007D2DDE"/>
    <w:rsid w:val="007D2ED4"/>
    <w:rsid w:val="007D31F0"/>
    <w:rsid w:val="007D3225"/>
    <w:rsid w:val="007D330E"/>
    <w:rsid w:val="007D35D9"/>
    <w:rsid w:val="007D37A4"/>
    <w:rsid w:val="007D3A5B"/>
    <w:rsid w:val="007D3DDD"/>
    <w:rsid w:val="007D3EE5"/>
    <w:rsid w:val="007D3FB0"/>
    <w:rsid w:val="007D4070"/>
    <w:rsid w:val="007D41B3"/>
    <w:rsid w:val="007D427E"/>
    <w:rsid w:val="007D4367"/>
    <w:rsid w:val="007D4528"/>
    <w:rsid w:val="007D4AFA"/>
    <w:rsid w:val="007D5465"/>
    <w:rsid w:val="007D5552"/>
    <w:rsid w:val="007D5709"/>
    <w:rsid w:val="007D57DA"/>
    <w:rsid w:val="007D5920"/>
    <w:rsid w:val="007D59C3"/>
    <w:rsid w:val="007D5A3C"/>
    <w:rsid w:val="007D5CE3"/>
    <w:rsid w:val="007D60E0"/>
    <w:rsid w:val="007D6206"/>
    <w:rsid w:val="007D6299"/>
    <w:rsid w:val="007D6917"/>
    <w:rsid w:val="007D6A5D"/>
    <w:rsid w:val="007D71E8"/>
    <w:rsid w:val="007D7203"/>
    <w:rsid w:val="007D738C"/>
    <w:rsid w:val="007D7415"/>
    <w:rsid w:val="007D7426"/>
    <w:rsid w:val="007D7827"/>
    <w:rsid w:val="007D789F"/>
    <w:rsid w:val="007E02ED"/>
    <w:rsid w:val="007E034D"/>
    <w:rsid w:val="007E06FF"/>
    <w:rsid w:val="007E08FA"/>
    <w:rsid w:val="007E09E4"/>
    <w:rsid w:val="007E0DF3"/>
    <w:rsid w:val="007E0E6C"/>
    <w:rsid w:val="007E1585"/>
    <w:rsid w:val="007E17A0"/>
    <w:rsid w:val="007E17D7"/>
    <w:rsid w:val="007E1877"/>
    <w:rsid w:val="007E1A33"/>
    <w:rsid w:val="007E1CB5"/>
    <w:rsid w:val="007E1E23"/>
    <w:rsid w:val="007E207B"/>
    <w:rsid w:val="007E2351"/>
    <w:rsid w:val="007E23DB"/>
    <w:rsid w:val="007E283F"/>
    <w:rsid w:val="007E2889"/>
    <w:rsid w:val="007E2EBF"/>
    <w:rsid w:val="007E2FA4"/>
    <w:rsid w:val="007E33BB"/>
    <w:rsid w:val="007E34DE"/>
    <w:rsid w:val="007E34F1"/>
    <w:rsid w:val="007E35D7"/>
    <w:rsid w:val="007E3AC3"/>
    <w:rsid w:val="007E3B38"/>
    <w:rsid w:val="007E421E"/>
    <w:rsid w:val="007E4479"/>
    <w:rsid w:val="007E4767"/>
    <w:rsid w:val="007E47CB"/>
    <w:rsid w:val="007E49B6"/>
    <w:rsid w:val="007E4CA3"/>
    <w:rsid w:val="007E4E87"/>
    <w:rsid w:val="007E5111"/>
    <w:rsid w:val="007E517F"/>
    <w:rsid w:val="007E5290"/>
    <w:rsid w:val="007E55ED"/>
    <w:rsid w:val="007E5610"/>
    <w:rsid w:val="007E569E"/>
    <w:rsid w:val="007E56EB"/>
    <w:rsid w:val="007E585C"/>
    <w:rsid w:val="007E5965"/>
    <w:rsid w:val="007E5D54"/>
    <w:rsid w:val="007E5FE4"/>
    <w:rsid w:val="007E6052"/>
    <w:rsid w:val="007E6100"/>
    <w:rsid w:val="007E6157"/>
    <w:rsid w:val="007E6168"/>
    <w:rsid w:val="007E63BD"/>
    <w:rsid w:val="007E63C5"/>
    <w:rsid w:val="007E6626"/>
    <w:rsid w:val="007E6819"/>
    <w:rsid w:val="007E6831"/>
    <w:rsid w:val="007E6A12"/>
    <w:rsid w:val="007E6AE3"/>
    <w:rsid w:val="007E7173"/>
    <w:rsid w:val="007E7522"/>
    <w:rsid w:val="007E7754"/>
    <w:rsid w:val="007E7755"/>
    <w:rsid w:val="007E7A0B"/>
    <w:rsid w:val="007E7C84"/>
    <w:rsid w:val="007E7C8E"/>
    <w:rsid w:val="007E7E37"/>
    <w:rsid w:val="007F001D"/>
    <w:rsid w:val="007F01CD"/>
    <w:rsid w:val="007F038E"/>
    <w:rsid w:val="007F03AB"/>
    <w:rsid w:val="007F03C2"/>
    <w:rsid w:val="007F044F"/>
    <w:rsid w:val="007F0457"/>
    <w:rsid w:val="007F0568"/>
    <w:rsid w:val="007F0709"/>
    <w:rsid w:val="007F07DF"/>
    <w:rsid w:val="007F0AA8"/>
    <w:rsid w:val="007F0C29"/>
    <w:rsid w:val="007F1118"/>
    <w:rsid w:val="007F114D"/>
    <w:rsid w:val="007F119B"/>
    <w:rsid w:val="007F1422"/>
    <w:rsid w:val="007F1520"/>
    <w:rsid w:val="007F1587"/>
    <w:rsid w:val="007F17FF"/>
    <w:rsid w:val="007F1B42"/>
    <w:rsid w:val="007F2767"/>
    <w:rsid w:val="007F2C02"/>
    <w:rsid w:val="007F2D41"/>
    <w:rsid w:val="007F2E8C"/>
    <w:rsid w:val="007F307E"/>
    <w:rsid w:val="007F31B8"/>
    <w:rsid w:val="007F31C0"/>
    <w:rsid w:val="007F31DB"/>
    <w:rsid w:val="007F3248"/>
    <w:rsid w:val="007F331C"/>
    <w:rsid w:val="007F3596"/>
    <w:rsid w:val="007F362A"/>
    <w:rsid w:val="007F3654"/>
    <w:rsid w:val="007F36BE"/>
    <w:rsid w:val="007F37CC"/>
    <w:rsid w:val="007F3C69"/>
    <w:rsid w:val="007F3CD5"/>
    <w:rsid w:val="007F3D6B"/>
    <w:rsid w:val="007F3F06"/>
    <w:rsid w:val="007F4096"/>
    <w:rsid w:val="007F44FE"/>
    <w:rsid w:val="007F45A1"/>
    <w:rsid w:val="007F49C9"/>
    <w:rsid w:val="007F4B6B"/>
    <w:rsid w:val="007F4E4B"/>
    <w:rsid w:val="007F50D9"/>
    <w:rsid w:val="007F5257"/>
    <w:rsid w:val="007F53E5"/>
    <w:rsid w:val="007F547F"/>
    <w:rsid w:val="007F584B"/>
    <w:rsid w:val="007F593B"/>
    <w:rsid w:val="007F6022"/>
    <w:rsid w:val="007F627A"/>
    <w:rsid w:val="007F6864"/>
    <w:rsid w:val="007F6910"/>
    <w:rsid w:val="007F6C8B"/>
    <w:rsid w:val="007F6CA6"/>
    <w:rsid w:val="007F6DFC"/>
    <w:rsid w:val="007F74B9"/>
    <w:rsid w:val="007F7702"/>
    <w:rsid w:val="007F7879"/>
    <w:rsid w:val="007F7974"/>
    <w:rsid w:val="007F79E2"/>
    <w:rsid w:val="008000C2"/>
    <w:rsid w:val="0080014E"/>
    <w:rsid w:val="008004A4"/>
    <w:rsid w:val="008004AA"/>
    <w:rsid w:val="008004E9"/>
    <w:rsid w:val="00800514"/>
    <w:rsid w:val="008006A3"/>
    <w:rsid w:val="008007E2"/>
    <w:rsid w:val="00800922"/>
    <w:rsid w:val="00800A62"/>
    <w:rsid w:val="00800BB2"/>
    <w:rsid w:val="00800EF8"/>
    <w:rsid w:val="0080105B"/>
    <w:rsid w:val="0080111C"/>
    <w:rsid w:val="00801199"/>
    <w:rsid w:val="008011FC"/>
    <w:rsid w:val="008012CF"/>
    <w:rsid w:val="008017ED"/>
    <w:rsid w:val="00801865"/>
    <w:rsid w:val="00801ADD"/>
    <w:rsid w:val="00801C5E"/>
    <w:rsid w:val="00801D08"/>
    <w:rsid w:val="00801E4A"/>
    <w:rsid w:val="00801E7D"/>
    <w:rsid w:val="00801FDE"/>
    <w:rsid w:val="0080212C"/>
    <w:rsid w:val="008024B6"/>
    <w:rsid w:val="00802546"/>
    <w:rsid w:val="008025BA"/>
    <w:rsid w:val="00802A9F"/>
    <w:rsid w:val="00802D93"/>
    <w:rsid w:val="0080320B"/>
    <w:rsid w:val="008032C8"/>
    <w:rsid w:val="0080345D"/>
    <w:rsid w:val="00803B22"/>
    <w:rsid w:val="00803C0C"/>
    <w:rsid w:val="00803EBE"/>
    <w:rsid w:val="0080442C"/>
    <w:rsid w:val="008048EB"/>
    <w:rsid w:val="0080493A"/>
    <w:rsid w:val="008049B0"/>
    <w:rsid w:val="00804A0B"/>
    <w:rsid w:val="00804C9B"/>
    <w:rsid w:val="00804D78"/>
    <w:rsid w:val="00804F09"/>
    <w:rsid w:val="0080509E"/>
    <w:rsid w:val="00805DE5"/>
    <w:rsid w:val="00805F45"/>
    <w:rsid w:val="00805FD7"/>
    <w:rsid w:val="00806278"/>
    <w:rsid w:val="008066E3"/>
    <w:rsid w:val="0080687F"/>
    <w:rsid w:val="00806A80"/>
    <w:rsid w:val="00806EA2"/>
    <w:rsid w:val="0080748A"/>
    <w:rsid w:val="00807ACB"/>
    <w:rsid w:val="00807BA2"/>
    <w:rsid w:val="00807E8C"/>
    <w:rsid w:val="00810031"/>
    <w:rsid w:val="0081011C"/>
    <w:rsid w:val="00810248"/>
    <w:rsid w:val="00810689"/>
    <w:rsid w:val="0081085B"/>
    <w:rsid w:val="00810A2B"/>
    <w:rsid w:val="00810A74"/>
    <w:rsid w:val="00810EF6"/>
    <w:rsid w:val="00810F9B"/>
    <w:rsid w:val="00811008"/>
    <w:rsid w:val="008113DE"/>
    <w:rsid w:val="00811B2C"/>
    <w:rsid w:val="00811FF3"/>
    <w:rsid w:val="00812267"/>
    <w:rsid w:val="0081241C"/>
    <w:rsid w:val="008125E0"/>
    <w:rsid w:val="00812623"/>
    <w:rsid w:val="00812E7E"/>
    <w:rsid w:val="008131C4"/>
    <w:rsid w:val="00813ADD"/>
    <w:rsid w:val="00813CF3"/>
    <w:rsid w:val="00814068"/>
    <w:rsid w:val="008145FC"/>
    <w:rsid w:val="00814607"/>
    <w:rsid w:val="00814D34"/>
    <w:rsid w:val="00815381"/>
    <w:rsid w:val="00815BCA"/>
    <w:rsid w:val="00815D55"/>
    <w:rsid w:val="00815FC9"/>
    <w:rsid w:val="0081612F"/>
    <w:rsid w:val="0081623D"/>
    <w:rsid w:val="0081631A"/>
    <w:rsid w:val="00816517"/>
    <w:rsid w:val="008165F5"/>
    <w:rsid w:val="00816A12"/>
    <w:rsid w:val="00816CB8"/>
    <w:rsid w:val="00816D74"/>
    <w:rsid w:val="00817019"/>
    <w:rsid w:val="0081702B"/>
    <w:rsid w:val="008170C5"/>
    <w:rsid w:val="00817360"/>
    <w:rsid w:val="008173EB"/>
    <w:rsid w:val="00817493"/>
    <w:rsid w:val="008174B2"/>
    <w:rsid w:val="008174E6"/>
    <w:rsid w:val="008176AA"/>
    <w:rsid w:val="008200E4"/>
    <w:rsid w:val="00820185"/>
    <w:rsid w:val="008201CC"/>
    <w:rsid w:val="00820213"/>
    <w:rsid w:val="008202A7"/>
    <w:rsid w:val="008209E5"/>
    <w:rsid w:val="00820B67"/>
    <w:rsid w:val="00820EFA"/>
    <w:rsid w:val="00820F6D"/>
    <w:rsid w:val="00820F9D"/>
    <w:rsid w:val="008211C3"/>
    <w:rsid w:val="00821358"/>
    <w:rsid w:val="00821407"/>
    <w:rsid w:val="008216E2"/>
    <w:rsid w:val="00821823"/>
    <w:rsid w:val="008219C1"/>
    <w:rsid w:val="00821EDE"/>
    <w:rsid w:val="0082233E"/>
    <w:rsid w:val="0082247A"/>
    <w:rsid w:val="00822543"/>
    <w:rsid w:val="00822601"/>
    <w:rsid w:val="00822818"/>
    <w:rsid w:val="0082289E"/>
    <w:rsid w:val="00822AF4"/>
    <w:rsid w:val="008231DE"/>
    <w:rsid w:val="0082352A"/>
    <w:rsid w:val="008237F8"/>
    <w:rsid w:val="008238B4"/>
    <w:rsid w:val="00823A34"/>
    <w:rsid w:val="00823C9A"/>
    <w:rsid w:val="00823FEF"/>
    <w:rsid w:val="00824204"/>
    <w:rsid w:val="008243EE"/>
    <w:rsid w:val="008247C1"/>
    <w:rsid w:val="00824984"/>
    <w:rsid w:val="008249EB"/>
    <w:rsid w:val="00824A15"/>
    <w:rsid w:val="00824B80"/>
    <w:rsid w:val="00824E31"/>
    <w:rsid w:val="00824FD2"/>
    <w:rsid w:val="0082508D"/>
    <w:rsid w:val="00825405"/>
    <w:rsid w:val="0082542E"/>
    <w:rsid w:val="00825670"/>
    <w:rsid w:val="0082582B"/>
    <w:rsid w:val="00825CFE"/>
    <w:rsid w:val="008260DD"/>
    <w:rsid w:val="0082614E"/>
    <w:rsid w:val="008265C7"/>
    <w:rsid w:val="008266E4"/>
    <w:rsid w:val="00826778"/>
    <w:rsid w:val="00826928"/>
    <w:rsid w:val="008269B9"/>
    <w:rsid w:val="00826ABA"/>
    <w:rsid w:val="00826CD1"/>
    <w:rsid w:val="00826D72"/>
    <w:rsid w:val="00826E3C"/>
    <w:rsid w:val="0082700A"/>
    <w:rsid w:val="008270A3"/>
    <w:rsid w:val="00827206"/>
    <w:rsid w:val="00827545"/>
    <w:rsid w:val="008275D5"/>
    <w:rsid w:val="008276ED"/>
    <w:rsid w:val="00827951"/>
    <w:rsid w:val="00827C81"/>
    <w:rsid w:val="00827FD8"/>
    <w:rsid w:val="008302B2"/>
    <w:rsid w:val="008303D9"/>
    <w:rsid w:val="0083043B"/>
    <w:rsid w:val="00830490"/>
    <w:rsid w:val="008308BE"/>
    <w:rsid w:val="00830B43"/>
    <w:rsid w:val="00830E2C"/>
    <w:rsid w:val="00830E42"/>
    <w:rsid w:val="00831507"/>
    <w:rsid w:val="0083180B"/>
    <w:rsid w:val="00831827"/>
    <w:rsid w:val="00831A72"/>
    <w:rsid w:val="00831AC8"/>
    <w:rsid w:val="00831CCF"/>
    <w:rsid w:val="00831DB9"/>
    <w:rsid w:val="00831E08"/>
    <w:rsid w:val="00832076"/>
    <w:rsid w:val="00832208"/>
    <w:rsid w:val="0083252F"/>
    <w:rsid w:val="0083259B"/>
    <w:rsid w:val="00832692"/>
    <w:rsid w:val="00832920"/>
    <w:rsid w:val="008329A0"/>
    <w:rsid w:val="008329CC"/>
    <w:rsid w:val="00833212"/>
    <w:rsid w:val="0083329E"/>
    <w:rsid w:val="00833430"/>
    <w:rsid w:val="0083398A"/>
    <w:rsid w:val="00833CE3"/>
    <w:rsid w:val="00833DC2"/>
    <w:rsid w:val="00834569"/>
    <w:rsid w:val="00834824"/>
    <w:rsid w:val="00834A52"/>
    <w:rsid w:val="00834C14"/>
    <w:rsid w:val="00834C60"/>
    <w:rsid w:val="00834E7F"/>
    <w:rsid w:val="0083520C"/>
    <w:rsid w:val="00835224"/>
    <w:rsid w:val="00835544"/>
    <w:rsid w:val="008356C9"/>
    <w:rsid w:val="008356E6"/>
    <w:rsid w:val="008356FB"/>
    <w:rsid w:val="0083631A"/>
    <w:rsid w:val="008363B6"/>
    <w:rsid w:val="0083645C"/>
    <w:rsid w:val="0083679A"/>
    <w:rsid w:val="008369E9"/>
    <w:rsid w:val="00836ABA"/>
    <w:rsid w:val="0083701C"/>
    <w:rsid w:val="008370A6"/>
    <w:rsid w:val="00837374"/>
    <w:rsid w:val="0083741D"/>
    <w:rsid w:val="00837488"/>
    <w:rsid w:val="00837A06"/>
    <w:rsid w:val="00837A33"/>
    <w:rsid w:val="00837AAB"/>
    <w:rsid w:val="00837C27"/>
    <w:rsid w:val="00840002"/>
    <w:rsid w:val="00840030"/>
    <w:rsid w:val="0084010B"/>
    <w:rsid w:val="00840281"/>
    <w:rsid w:val="0084061D"/>
    <w:rsid w:val="00840830"/>
    <w:rsid w:val="00840A0B"/>
    <w:rsid w:val="00840A2D"/>
    <w:rsid w:val="00840A9B"/>
    <w:rsid w:val="00840BD7"/>
    <w:rsid w:val="00840E0C"/>
    <w:rsid w:val="00840F11"/>
    <w:rsid w:val="00841060"/>
    <w:rsid w:val="00841068"/>
    <w:rsid w:val="0084133E"/>
    <w:rsid w:val="0084198C"/>
    <w:rsid w:val="00841CCB"/>
    <w:rsid w:val="00841DE1"/>
    <w:rsid w:val="00841E87"/>
    <w:rsid w:val="0084225D"/>
    <w:rsid w:val="008422D7"/>
    <w:rsid w:val="008422EE"/>
    <w:rsid w:val="008426C4"/>
    <w:rsid w:val="0084295E"/>
    <w:rsid w:val="00842BD4"/>
    <w:rsid w:val="00842CB3"/>
    <w:rsid w:val="00842CD6"/>
    <w:rsid w:val="00842E1B"/>
    <w:rsid w:val="0084312E"/>
    <w:rsid w:val="0084359A"/>
    <w:rsid w:val="00843622"/>
    <w:rsid w:val="008436C0"/>
    <w:rsid w:val="008439CE"/>
    <w:rsid w:val="00843ABF"/>
    <w:rsid w:val="00843C6F"/>
    <w:rsid w:val="0084444B"/>
    <w:rsid w:val="008447EB"/>
    <w:rsid w:val="00844B8A"/>
    <w:rsid w:val="00844E32"/>
    <w:rsid w:val="00844F1C"/>
    <w:rsid w:val="00844FEC"/>
    <w:rsid w:val="008454DC"/>
    <w:rsid w:val="00845761"/>
    <w:rsid w:val="0084581E"/>
    <w:rsid w:val="00845BE0"/>
    <w:rsid w:val="00845CF4"/>
    <w:rsid w:val="00845DE1"/>
    <w:rsid w:val="00845EDF"/>
    <w:rsid w:val="00845F11"/>
    <w:rsid w:val="00845F3D"/>
    <w:rsid w:val="00846249"/>
    <w:rsid w:val="00846719"/>
    <w:rsid w:val="00846F85"/>
    <w:rsid w:val="008474EA"/>
    <w:rsid w:val="0084797B"/>
    <w:rsid w:val="00847AB8"/>
    <w:rsid w:val="00847E12"/>
    <w:rsid w:val="0085041F"/>
    <w:rsid w:val="00850432"/>
    <w:rsid w:val="00850BBE"/>
    <w:rsid w:val="00850E9B"/>
    <w:rsid w:val="00851092"/>
    <w:rsid w:val="008511F1"/>
    <w:rsid w:val="0085124B"/>
    <w:rsid w:val="008513F3"/>
    <w:rsid w:val="00851500"/>
    <w:rsid w:val="0085176C"/>
    <w:rsid w:val="00851774"/>
    <w:rsid w:val="00851A20"/>
    <w:rsid w:val="00851BA9"/>
    <w:rsid w:val="00851C06"/>
    <w:rsid w:val="00851CD0"/>
    <w:rsid w:val="00851F1C"/>
    <w:rsid w:val="00852121"/>
    <w:rsid w:val="0085224D"/>
    <w:rsid w:val="00852316"/>
    <w:rsid w:val="0085238F"/>
    <w:rsid w:val="00852CD3"/>
    <w:rsid w:val="00852D19"/>
    <w:rsid w:val="00852DC3"/>
    <w:rsid w:val="0085342E"/>
    <w:rsid w:val="00853A86"/>
    <w:rsid w:val="00853FEB"/>
    <w:rsid w:val="008541DD"/>
    <w:rsid w:val="008543A4"/>
    <w:rsid w:val="0085440E"/>
    <w:rsid w:val="0085457D"/>
    <w:rsid w:val="008545A3"/>
    <w:rsid w:val="00854784"/>
    <w:rsid w:val="0085498A"/>
    <w:rsid w:val="00854A06"/>
    <w:rsid w:val="00854BC8"/>
    <w:rsid w:val="00854D23"/>
    <w:rsid w:val="00854DAC"/>
    <w:rsid w:val="00854E21"/>
    <w:rsid w:val="00854EA4"/>
    <w:rsid w:val="00855005"/>
    <w:rsid w:val="00855125"/>
    <w:rsid w:val="008551A9"/>
    <w:rsid w:val="0085562E"/>
    <w:rsid w:val="0085568F"/>
    <w:rsid w:val="0085592F"/>
    <w:rsid w:val="00855B45"/>
    <w:rsid w:val="00855BEE"/>
    <w:rsid w:val="00856107"/>
    <w:rsid w:val="00856415"/>
    <w:rsid w:val="0085667E"/>
    <w:rsid w:val="00856ADA"/>
    <w:rsid w:val="00856CA6"/>
    <w:rsid w:val="00856DC7"/>
    <w:rsid w:val="00856FBE"/>
    <w:rsid w:val="008570A7"/>
    <w:rsid w:val="0085739E"/>
    <w:rsid w:val="008574A2"/>
    <w:rsid w:val="00857704"/>
    <w:rsid w:val="0085791C"/>
    <w:rsid w:val="00857B19"/>
    <w:rsid w:val="00857CE3"/>
    <w:rsid w:val="00857D43"/>
    <w:rsid w:val="00857D8D"/>
    <w:rsid w:val="00857E34"/>
    <w:rsid w:val="008600F0"/>
    <w:rsid w:val="008602E6"/>
    <w:rsid w:val="008604DF"/>
    <w:rsid w:val="008605DA"/>
    <w:rsid w:val="00860996"/>
    <w:rsid w:val="00860B2F"/>
    <w:rsid w:val="00860DDD"/>
    <w:rsid w:val="00860F7F"/>
    <w:rsid w:val="00860F98"/>
    <w:rsid w:val="00861349"/>
    <w:rsid w:val="00861415"/>
    <w:rsid w:val="00861431"/>
    <w:rsid w:val="0086172F"/>
    <w:rsid w:val="00861C2A"/>
    <w:rsid w:val="0086233E"/>
    <w:rsid w:val="008626C0"/>
    <w:rsid w:val="008627D5"/>
    <w:rsid w:val="00862937"/>
    <w:rsid w:val="00862AA7"/>
    <w:rsid w:val="00862C6A"/>
    <w:rsid w:val="00862D31"/>
    <w:rsid w:val="00862FC6"/>
    <w:rsid w:val="0086326F"/>
    <w:rsid w:val="008637FD"/>
    <w:rsid w:val="0086389F"/>
    <w:rsid w:val="00863970"/>
    <w:rsid w:val="00863AB1"/>
    <w:rsid w:val="00863F6C"/>
    <w:rsid w:val="00863F6E"/>
    <w:rsid w:val="00864097"/>
    <w:rsid w:val="008640AC"/>
    <w:rsid w:val="00864151"/>
    <w:rsid w:val="008642C2"/>
    <w:rsid w:val="00864399"/>
    <w:rsid w:val="0086447E"/>
    <w:rsid w:val="00864584"/>
    <w:rsid w:val="00864853"/>
    <w:rsid w:val="008648A7"/>
    <w:rsid w:val="00864925"/>
    <w:rsid w:val="00864A89"/>
    <w:rsid w:val="00864B4E"/>
    <w:rsid w:val="00864D27"/>
    <w:rsid w:val="00864DD8"/>
    <w:rsid w:val="00864FEB"/>
    <w:rsid w:val="00865025"/>
    <w:rsid w:val="00865065"/>
    <w:rsid w:val="008657BB"/>
    <w:rsid w:val="008659C8"/>
    <w:rsid w:val="00865AE3"/>
    <w:rsid w:val="00865BE2"/>
    <w:rsid w:val="00865E92"/>
    <w:rsid w:val="008661D2"/>
    <w:rsid w:val="008662D5"/>
    <w:rsid w:val="0086639D"/>
    <w:rsid w:val="008663E4"/>
    <w:rsid w:val="00866416"/>
    <w:rsid w:val="00866548"/>
    <w:rsid w:val="00866799"/>
    <w:rsid w:val="0086681D"/>
    <w:rsid w:val="00866AD7"/>
    <w:rsid w:val="00866B96"/>
    <w:rsid w:val="00866C83"/>
    <w:rsid w:val="008672D4"/>
    <w:rsid w:val="00867682"/>
    <w:rsid w:val="008676A4"/>
    <w:rsid w:val="00867763"/>
    <w:rsid w:val="008677C9"/>
    <w:rsid w:val="0086786E"/>
    <w:rsid w:val="00867E09"/>
    <w:rsid w:val="0087044D"/>
    <w:rsid w:val="008704B4"/>
    <w:rsid w:val="00870554"/>
    <w:rsid w:val="008707D0"/>
    <w:rsid w:val="00870BCD"/>
    <w:rsid w:val="00870D78"/>
    <w:rsid w:val="00870E36"/>
    <w:rsid w:val="00870E46"/>
    <w:rsid w:val="00870EB8"/>
    <w:rsid w:val="00871234"/>
    <w:rsid w:val="008716C7"/>
    <w:rsid w:val="008716E7"/>
    <w:rsid w:val="00871D7F"/>
    <w:rsid w:val="00871EE7"/>
    <w:rsid w:val="008721A2"/>
    <w:rsid w:val="0087264A"/>
    <w:rsid w:val="008726D6"/>
    <w:rsid w:val="00872A3F"/>
    <w:rsid w:val="00872BA5"/>
    <w:rsid w:val="00872D51"/>
    <w:rsid w:val="00872EA6"/>
    <w:rsid w:val="00872F41"/>
    <w:rsid w:val="00873041"/>
    <w:rsid w:val="008732E9"/>
    <w:rsid w:val="00873EA4"/>
    <w:rsid w:val="00873EC6"/>
    <w:rsid w:val="00873F90"/>
    <w:rsid w:val="00874334"/>
    <w:rsid w:val="00874B2A"/>
    <w:rsid w:val="00875049"/>
    <w:rsid w:val="008752E6"/>
    <w:rsid w:val="0087532D"/>
    <w:rsid w:val="00875576"/>
    <w:rsid w:val="0087575F"/>
    <w:rsid w:val="00875796"/>
    <w:rsid w:val="00875B8A"/>
    <w:rsid w:val="00875C56"/>
    <w:rsid w:val="00875CF4"/>
    <w:rsid w:val="00875EA4"/>
    <w:rsid w:val="00875ECF"/>
    <w:rsid w:val="00876647"/>
    <w:rsid w:val="0087691E"/>
    <w:rsid w:val="00876A7D"/>
    <w:rsid w:val="00876B00"/>
    <w:rsid w:val="00876E3B"/>
    <w:rsid w:val="0087785B"/>
    <w:rsid w:val="00877DEC"/>
    <w:rsid w:val="00877DED"/>
    <w:rsid w:val="008800A8"/>
    <w:rsid w:val="00880253"/>
    <w:rsid w:val="00880329"/>
    <w:rsid w:val="00880760"/>
    <w:rsid w:val="00880A8D"/>
    <w:rsid w:val="008810A2"/>
    <w:rsid w:val="008811AD"/>
    <w:rsid w:val="0088120D"/>
    <w:rsid w:val="00881276"/>
    <w:rsid w:val="00881C2F"/>
    <w:rsid w:val="00882165"/>
    <w:rsid w:val="0088261F"/>
    <w:rsid w:val="00882BD0"/>
    <w:rsid w:val="0088303D"/>
    <w:rsid w:val="008832B9"/>
    <w:rsid w:val="00883420"/>
    <w:rsid w:val="0088343F"/>
    <w:rsid w:val="00883560"/>
    <w:rsid w:val="0088370A"/>
    <w:rsid w:val="00883935"/>
    <w:rsid w:val="0088394F"/>
    <w:rsid w:val="00883982"/>
    <w:rsid w:val="00883A9D"/>
    <w:rsid w:val="0088424B"/>
    <w:rsid w:val="008842B7"/>
    <w:rsid w:val="0088432A"/>
    <w:rsid w:val="0088444F"/>
    <w:rsid w:val="00884464"/>
    <w:rsid w:val="00884618"/>
    <w:rsid w:val="00884695"/>
    <w:rsid w:val="008847CA"/>
    <w:rsid w:val="008848C4"/>
    <w:rsid w:val="00884907"/>
    <w:rsid w:val="008849D9"/>
    <w:rsid w:val="00884D62"/>
    <w:rsid w:val="00884E9B"/>
    <w:rsid w:val="00884F60"/>
    <w:rsid w:val="00885163"/>
    <w:rsid w:val="008852BC"/>
    <w:rsid w:val="00885452"/>
    <w:rsid w:val="00885505"/>
    <w:rsid w:val="00885C1B"/>
    <w:rsid w:val="00886646"/>
    <w:rsid w:val="0088680A"/>
    <w:rsid w:val="00886CB9"/>
    <w:rsid w:val="00886E2C"/>
    <w:rsid w:val="00886F14"/>
    <w:rsid w:val="00886F93"/>
    <w:rsid w:val="00887165"/>
    <w:rsid w:val="0088730D"/>
    <w:rsid w:val="0088752E"/>
    <w:rsid w:val="00887577"/>
    <w:rsid w:val="00887751"/>
    <w:rsid w:val="00887A3E"/>
    <w:rsid w:val="00887BB9"/>
    <w:rsid w:val="00887D03"/>
    <w:rsid w:val="00887D4E"/>
    <w:rsid w:val="00887E53"/>
    <w:rsid w:val="008900C0"/>
    <w:rsid w:val="0089013B"/>
    <w:rsid w:val="00890254"/>
    <w:rsid w:val="0089043E"/>
    <w:rsid w:val="00890B2F"/>
    <w:rsid w:val="00890F94"/>
    <w:rsid w:val="0089172D"/>
    <w:rsid w:val="00891BBD"/>
    <w:rsid w:val="00891D5A"/>
    <w:rsid w:val="00892357"/>
    <w:rsid w:val="008924C3"/>
    <w:rsid w:val="00892698"/>
    <w:rsid w:val="0089289C"/>
    <w:rsid w:val="00892925"/>
    <w:rsid w:val="00892B8F"/>
    <w:rsid w:val="00892D7F"/>
    <w:rsid w:val="00892E69"/>
    <w:rsid w:val="00892EFB"/>
    <w:rsid w:val="0089320B"/>
    <w:rsid w:val="0089364C"/>
    <w:rsid w:val="00893713"/>
    <w:rsid w:val="0089396F"/>
    <w:rsid w:val="00893B3E"/>
    <w:rsid w:val="00893BB2"/>
    <w:rsid w:val="00894219"/>
    <w:rsid w:val="00894585"/>
    <w:rsid w:val="00894588"/>
    <w:rsid w:val="00894654"/>
    <w:rsid w:val="00894BB5"/>
    <w:rsid w:val="00894BD5"/>
    <w:rsid w:val="00894C1E"/>
    <w:rsid w:val="00894D5D"/>
    <w:rsid w:val="00894FE6"/>
    <w:rsid w:val="008958AA"/>
    <w:rsid w:val="00895BAE"/>
    <w:rsid w:val="00895CF9"/>
    <w:rsid w:val="00895D0F"/>
    <w:rsid w:val="00895D38"/>
    <w:rsid w:val="00895E3A"/>
    <w:rsid w:val="00895F51"/>
    <w:rsid w:val="0089622F"/>
    <w:rsid w:val="00896258"/>
    <w:rsid w:val="0089649E"/>
    <w:rsid w:val="008965C1"/>
    <w:rsid w:val="00896631"/>
    <w:rsid w:val="0089671A"/>
    <w:rsid w:val="008967B8"/>
    <w:rsid w:val="008969C4"/>
    <w:rsid w:val="00896CD6"/>
    <w:rsid w:val="00896E87"/>
    <w:rsid w:val="00896F61"/>
    <w:rsid w:val="00897206"/>
    <w:rsid w:val="008978A6"/>
    <w:rsid w:val="00897D07"/>
    <w:rsid w:val="00897D72"/>
    <w:rsid w:val="008A0652"/>
    <w:rsid w:val="008A06F3"/>
    <w:rsid w:val="008A072A"/>
    <w:rsid w:val="008A0BE9"/>
    <w:rsid w:val="008A0FE8"/>
    <w:rsid w:val="008A1194"/>
    <w:rsid w:val="008A1256"/>
    <w:rsid w:val="008A1553"/>
    <w:rsid w:val="008A171D"/>
    <w:rsid w:val="008A196A"/>
    <w:rsid w:val="008A19E9"/>
    <w:rsid w:val="008A1A6D"/>
    <w:rsid w:val="008A1D10"/>
    <w:rsid w:val="008A22C2"/>
    <w:rsid w:val="008A29A1"/>
    <w:rsid w:val="008A29FE"/>
    <w:rsid w:val="008A2DE8"/>
    <w:rsid w:val="008A2EFA"/>
    <w:rsid w:val="008A2F64"/>
    <w:rsid w:val="008A3789"/>
    <w:rsid w:val="008A3823"/>
    <w:rsid w:val="008A40F1"/>
    <w:rsid w:val="008A4126"/>
    <w:rsid w:val="008A41A6"/>
    <w:rsid w:val="008A444D"/>
    <w:rsid w:val="008A4476"/>
    <w:rsid w:val="008A4547"/>
    <w:rsid w:val="008A46A2"/>
    <w:rsid w:val="008A4803"/>
    <w:rsid w:val="008A4B20"/>
    <w:rsid w:val="008A4BF3"/>
    <w:rsid w:val="008A4E9D"/>
    <w:rsid w:val="008A4FB0"/>
    <w:rsid w:val="008A57A2"/>
    <w:rsid w:val="008A57AE"/>
    <w:rsid w:val="008A58AE"/>
    <w:rsid w:val="008A5A4E"/>
    <w:rsid w:val="008A5A88"/>
    <w:rsid w:val="008A5AC5"/>
    <w:rsid w:val="008A5D85"/>
    <w:rsid w:val="008A60BE"/>
    <w:rsid w:val="008A615A"/>
    <w:rsid w:val="008A637A"/>
    <w:rsid w:val="008A649B"/>
    <w:rsid w:val="008A6671"/>
    <w:rsid w:val="008A66AC"/>
    <w:rsid w:val="008A67F3"/>
    <w:rsid w:val="008A6885"/>
    <w:rsid w:val="008A68E0"/>
    <w:rsid w:val="008A6AA5"/>
    <w:rsid w:val="008A6B9B"/>
    <w:rsid w:val="008A6BCB"/>
    <w:rsid w:val="008A6C82"/>
    <w:rsid w:val="008A6CA6"/>
    <w:rsid w:val="008A6D1B"/>
    <w:rsid w:val="008A6E01"/>
    <w:rsid w:val="008A7141"/>
    <w:rsid w:val="008A7731"/>
    <w:rsid w:val="008A7754"/>
    <w:rsid w:val="008A781B"/>
    <w:rsid w:val="008A7C4C"/>
    <w:rsid w:val="008A7E34"/>
    <w:rsid w:val="008B014E"/>
    <w:rsid w:val="008B034B"/>
    <w:rsid w:val="008B0E08"/>
    <w:rsid w:val="008B0E15"/>
    <w:rsid w:val="008B0F87"/>
    <w:rsid w:val="008B1061"/>
    <w:rsid w:val="008B1133"/>
    <w:rsid w:val="008B12E2"/>
    <w:rsid w:val="008B1446"/>
    <w:rsid w:val="008B149A"/>
    <w:rsid w:val="008B1567"/>
    <w:rsid w:val="008B1894"/>
    <w:rsid w:val="008B18EB"/>
    <w:rsid w:val="008B1AA2"/>
    <w:rsid w:val="008B1FD0"/>
    <w:rsid w:val="008B201C"/>
    <w:rsid w:val="008B20F4"/>
    <w:rsid w:val="008B2485"/>
    <w:rsid w:val="008B24F1"/>
    <w:rsid w:val="008B2945"/>
    <w:rsid w:val="008B31F9"/>
    <w:rsid w:val="008B3393"/>
    <w:rsid w:val="008B3432"/>
    <w:rsid w:val="008B34ED"/>
    <w:rsid w:val="008B34EF"/>
    <w:rsid w:val="008B3524"/>
    <w:rsid w:val="008B3686"/>
    <w:rsid w:val="008B38F3"/>
    <w:rsid w:val="008B391C"/>
    <w:rsid w:val="008B3B97"/>
    <w:rsid w:val="008B3BE8"/>
    <w:rsid w:val="008B3E99"/>
    <w:rsid w:val="008B3F56"/>
    <w:rsid w:val="008B3FAD"/>
    <w:rsid w:val="008B4256"/>
    <w:rsid w:val="008B445B"/>
    <w:rsid w:val="008B463E"/>
    <w:rsid w:val="008B4730"/>
    <w:rsid w:val="008B473F"/>
    <w:rsid w:val="008B4822"/>
    <w:rsid w:val="008B4A0E"/>
    <w:rsid w:val="008B4A78"/>
    <w:rsid w:val="008B525A"/>
    <w:rsid w:val="008B531C"/>
    <w:rsid w:val="008B5330"/>
    <w:rsid w:val="008B542F"/>
    <w:rsid w:val="008B562F"/>
    <w:rsid w:val="008B5728"/>
    <w:rsid w:val="008B58A3"/>
    <w:rsid w:val="008B61CC"/>
    <w:rsid w:val="008B62CC"/>
    <w:rsid w:val="008B662C"/>
    <w:rsid w:val="008B6719"/>
    <w:rsid w:val="008B6790"/>
    <w:rsid w:val="008B6B41"/>
    <w:rsid w:val="008B6BB0"/>
    <w:rsid w:val="008B6F9E"/>
    <w:rsid w:val="008B730C"/>
    <w:rsid w:val="008B7439"/>
    <w:rsid w:val="008B78D2"/>
    <w:rsid w:val="008B7C5A"/>
    <w:rsid w:val="008B7EA4"/>
    <w:rsid w:val="008B7F5A"/>
    <w:rsid w:val="008C051A"/>
    <w:rsid w:val="008C094D"/>
    <w:rsid w:val="008C0B4F"/>
    <w:rsid w:val="008C0C5A"/>
    <w:rsid w:val="008C0DF9"/>
    <w:rsid w:val="008C0FD0"/>
    <w:rsid w:val="008C1001"/>
    <w:rsid w:val="008C12ED"/>
    <w:rsid w:val="008C150F"/>
    <w:rsid w:val="008C15A2"/>
    <w:rsid w:val="008C17C5"/>
    <w:rsid w:val="008C18F6"/>
    <w:rsid w:val="008C19EF"/>
    <w:rsid w:val="008C20A5"/>
    <w:rsid w:val="008C229C"/>
    <w:rsid w:val="008C22E6"/>
    <w:rsid w:val="008C2377"/>
    <w:rsid w:val="008C2387"/>
    <w:rsid w:val="008C2456"/>
    <w:rsid w:val="008C2785"/>
    <w:rsid w:val="008C2D2F"/>
    <w:rsid w:val="008C2FD2"/>
    <w:rsid w:val="008C3413"/>
    <w:rsid w:val="008C34A2"/>
    <w:rsid w:val="008C35E5"/>
    <w:rsid w:val="008C35F9"/>
    <w:rsid w:val="008C3750"/>
    <w:rsid w:val="008C3A86"/>
    <w:rsid w:val="008C3B17"/>
    <w:rsid w:val="008C3FF4"/>
    <w:rsid w:val="008C4030"/>
    <w:rsid w:val="008C413A"/>
    <w:rsid w:val="008C4156"/>
    <w:rsid w:val="008C4222"/>
    <w:rsid w:val="008C42C9"/>
    <w:rsid w:val="008C432A"/>
    <w:rsid w:val="008C432B"/>
    <w:rsid w:val="008C4983"/>
    <w:rsid w:val="008C4A04"/>
    <w:rsid w:val="008C4AA8"/>
    <w:rsid w:val="008C4E1E"/>
    <w:rsid w:val="008C5561"/>
    <w:rsid w:val="008C55BA"/>
    <w:rsid w:val="008C562B"/>
    <w:rsid w:val="008C573F"/>
    <w:rsid w:val="008C583C"/>
    <w:rsid w:val="008C5923"/>
    <w:rsid w:val="008C5A09"/>
    <w:rsid w:val="008C5AF5"/>
    <w:rsid w:val="008C5C4F"/>
    <w:rsid w:val="008C5EF4"/>
    <w:rsid w:val="008C5FFF"/>
    <w:rsid w:val="008C6116"/>
    <w:rsid w:val="008C634E"/>
    <w:rsid w:val="008C639E"/>
    <w:rsid w:val="008C63E0"/>
    <w:rsid w:val="008C64CD"/>
    <w:rsid w:val="008C67AC"/>
    <w:rsid w:val="008C67AE"/>
    <w:rsid w:val="008C6F46"/>
    <w:rsid w:val="008C703E"/>
    <w:rsid w:val="008C7113"/>
    <w:rsid w:val="008C7248"/>
    <w:rsid w:val="008C728D"/>
    <w:rsid w:val="008C72D4"/>
    <w:rsid w:val="008C7689"/>
    <w:rsid w:val="008C77FD"/>
    <w:rsid w:val="008C78ED"/>
    <w:rsid w:val="008C7977"/>
    <w:rsid w:val="008C7B10"/>
    <w:rsid w:val="008C7D92"/>
    <w:rsid w:val="008C7E82"/>
    <w:rsid w:val="008C7EDD"/>
    <w:rsid w:val="008C7F17"/>
    <w:rsid w:val="008D0352"/>
    <w:rsid w:val="008D0679"/>
    <w:rsid w:val="008D071B"/>
    <w:rsid w:val="008D0DB2"/>
    <w:rsid w:val="008D1103"/>
    <w:rsid w:val="008D120F"/>
    <w:rsid w:val="008D1299"/>
    <w:rsid w:val="008D14C2"/>
    <w:rsid w:val="008D1748"/>
    <w:rsid w:val="008D1B33"/>
    <w:rsid w:val="008D20D4"/>
    <w:rsid w:val="008D2237"/>
    <w:rsid w:val="008D2258"/>
    <w:rsid w:val="008D2369"/>
    <w:rsid w:val="008D2473"/>
    <w:rsid w:val="008D247C"/>
    <w:rsid w:val="008D26D1"/>
    <w:rsid w:val="008D2CFA"/>
    <w:rsid w:val="008D34C6"/>
    <w:rsid w:val="008D356C"/>
    <w:rsid w:val="008D3756"/>
    <w:rsid w:val="008D3861"/>
    <w:rsid w:val="008D3AB1"/>
    <w:rsid w:val="008D3B06"/>
    <w:rsid w:val="008D3B2E"/>
    <w:rsid w:val="008D3C45"/>
    <w:rsid w:val="008D3F8D"/>
    <w:rsid w:val="008D3FEB"/>
    <w:rsid w:val="008D4362"/>
    <w:rsid w:val="008D456A"/>
    <w:rsid w:val="008D4576"/>
    <w:rsid w:val="008D472F"/>
    <w:rsid w:val="008D47CD"/>
    <w:rsid w:val="008D487A"/>
    <w:rsid w:val="008D48B7"/>
    <w:rsid w:val="008D4B70"/>
    <w:rsid w:val="008D512B"/>
    <w:rsid w:val="008D5623"/>
    <w:rsid w:val="008D573A"/>
    <w:rsid w:val="008D58C0"/>
    <w:rsid w:val="008D58D0"/>
    <w:rsid w:val="008D625D"/>
    <w:rsid w:val="008D690B"/>
    <w:rsid w:val="008D691F"/>
    <w:rsid w:val="008D6D1F"/>
    <w:rsid w:val="008D77D7"/>
    <w:rsid w:val="008D7821"/>
    <w:rsid w:val="008D7A8E"/>
    <w:rsid w:val="008D7B5E"/>
    <w:rsid w:val="008D7D58"/>
    <w:rsid w:val="008D7D84"/>
    <w:rsid w:val="008E0106"/>
    <w:rsid w:val="008E0565"/>
    <w:rsid w:val="008E0713"/>
    <w:rsid w:val="008E0852"/>
    <w:rsid w:val="008E0DC2"/>
    <w:rsid w:val="008E0F53"/>
    <w:rsid w:val="008E1132"/>
    <w:rsid w:val="008E123A"/>
    <w:rsid w:val="008E1904"/>
    <w:rsid w:val="008E198B"/>
    <w:rsid w:val="008E1A07"/>
    <w:rsid w:val="008E1A0A"/>
    <w:rsid w:val="008E1A4E"/>
    <w:rsid w:val="008E1ADA"/>
    <w:rsid w:val="008E228A"/>
    <w:rsid w:val="008E2643"/>
    <w:rsid w:val="008E268D"/>
    <w:rsid w:val="008E2A59"/>
    <w:rsid w:val="008E2CE8"/>
    <w:rsid w:val="008E2E0D"/>
    <w:rsid w:val="008E31FA"/>
    <w:rsid w:val="008E3306"/>
    <w:rsid w:val="008E389C"/>
    <w:rsid w:val="008E3C9E"/>
    <w:rsid w:val="008E3DB1"/>
    <w:rsid w:val="008E3EFE"/>
    <w:rsid w:val="008E3F67"/>
    <w:rsid w:val="008E406D"/>
    <w:rsid w:val="008E41D2"/>
    <w:rsid w:val="008E4440"/>
    <w:rsid w:val="008E450D"/>
    <w:rsid w:val="008E45BA"/>
    <w:rsid w:val="008E4B7E"/>
    <w:rsid w:val="008E4BA6"/>
    <w:rsid w:val="008E4BEF"/>
    <w:rsid w:val="008E4C7E"/>
    <w:rsid w:val="008E4F0B"/>
    <w:rsid w:val="008E532C"/>
    <w:rsid w:val="008E5396"/>
    <w:rsid w:val="008E56E9"/>
    <w:rsid w:val="008E58FB"/>
    <w:rsid w:val="008E5C52"/>
    <w:rsid w:val="008E5CE6"/>
    <w:rsid w:val="008E5E89"/>
    <w:rsid w:val="008E6233"/>
    <w:rsid w:val="008E62AD"/>
    <w:rsid w:val="008E6435"/>
    <w:rsid w:val="008E665F"/>
    <w:rsid w:val="008E698F"/>
    <w:rsid w:val="008E6A32"/>
    <w:rsid w:val="008E6BDC"/>
    <w:rsid w:val="008E6BE9"/>
    <w:rsid w:val="008E6DBD"/>
    <w:rsid w:val="008E747E"/>
    <w:rsid w:val="008E747F"/>
    <w:rsid w:val="008E7967"/>
    <w:rsid w:val="008E79D8"/>
    <w:rsid w:val="008E7A9C"/>
    <w:rsid w:val="008E7EA3"/>
    <w:rsid w:val="008E7F19"/>
    <w:rsid w:val="008F071F"/>
    <w:rsid w:val="008F09AE"/>
    <w:rsid w:val="008F0B29"/>
    <w:rsid w:val="008F0BAB"/>
    <w:rsid w:val="008F0F00"/>
    <w:rsid w:val="008F105D"/>
    <w:rsid w:val="008F12EA"/>
    <w:rsid w:val="008F17D2"/>
    <w:rsid w:val="008F17DC"/>
    <w:rsid w:val="008F18AA"/>
    <w:rsid w:val="008F18D8"/>
    <w:rsid w:val="008F1D94"/>
    <w:rsid w:val="008F1E10"/>
    <w:rsid w:val="008F26AA"/>
    <w:rsid w:val="008F28B6"/>
    <w:rsid w:val="008F299E"/>
    <w:rsid w:val="008F2A99"/>
    <w:rsid w:val="008F2D97"/>
    <w:rsid w:val="008F2FF8"/>
    <w:rsid w:val="008F3575"/>
    <w:rsid w:val="008F36F8"/>
    <w:rsid w:val="008F3790"/>
    <w:rsid w:val="008F3888"/>
    <w:rsid w:val="008F3962"/>
    <w:rsid w:val="008F3A0D"/>
    <w:rsid w:val="008F3D55"/>
    <w:rsid w:val="008F40BF"/>
    <w:rsid w:val="008F4264"/>
    <w:rsid w:val="008F4339"/>
    <w:rsid w:val="008F45A7"/>
    <w:rsid w:val="008F49CB"/>
    <w:rsid w:val="008F49D7"/>
    <w:rsid w:val="008F4A75"/>
    <w:rsid w:val="008F4F9F"/>
    <w:rsid w:val="008F506E"/>
    <w:rsid w:val="008F50AD"/>
    <w:rsid w:val="008F5232"/>
    <w:rsid w:val="008F5323"/>
    <w:rsid w:val="008F5593"/>
    <w:rsid w:val="008F5943"/>
    <w:rsid w:val="008F5A53"/>
    <w:rsid w:val="008F5B97"/>
    <w:rsid w:val="008F5D3E"/>
    <w:rsid w:val="008F5FA0"/>
    <w:rsid w:val="008F63BE"/>
    <w:rsid w:val="008F6A9B"/>
    <w:rsid w:val="008F6B71"/>
    <w:rsid w:val="008F6CE3"/>
    <w:rsid w:val="008F6D24"/>
    <w:rsid w:val="008F6D9A"/>
    <w:rsid w:val="008F6F0B"/>
    <w:rsid w:val="008F7151"/>
    <w:rsid w:val="008F71AA"/>
    <w:rsid w:val="008F71B1"/>
    <w:rsid w:val="008F7225"/>
    <w:rsid w:val="008F74A5"/>
    <w:rsid w:val="008F74F4"/>
    <w:rsid w:val="008F7680"/>
    <w:rsid w:val="008F76F1"/>
    <w:rsid w:val="008F783B"/>
    <w:rsid w:val="008F793E"/>
    <w:rsid w:val="008F7D9A"/>
    <w:rsid w:val="00900498"/>
    <w:rsid w:val="009004C9"/>
    <w:rsid w:val="00900579"/>
    <w:rsid w:val="009005E0"/>
    <w:rsid w:val="0090071F"/>
    <w:rsid w:val="0090080E"/>
    <w:rsid w:val="00900B76"/>
    <w:rsid w:val="00900D52"/>
    <w:rsid w:val="0090112E"/>
    <w:rsid w:val="00901203"/>
    <w:rsid w:val="0090120F"/>
    <w:rsid w:val="00901388"/>
    <w:rsid w:val="0090143A"/>
    <w:rsid w:val="0090153C"/>
    <w:rsid w:val="00901845"/>
    <w:rsid w:val="00901D42"/>
    <w:rsid w:val="00901D44"/>
    <w:rsid w:val="0090209B"/>
    <w:rsid w:val="00902374"/>
    <w:rsid w:val="009023BA"/>
    <w:rsid w:val="009023C1"/>
    <w:rsid w:val="009028CA"/>
    <w:rsid w:val="00902925"/>
    <w:rsid w:val="00902A44"/>
    <w:rsid w:val="00902C0F"/>
    <w:rsid w:val="00902E7D"/>
    <w:rsid w:val="0090313A"/>
    <w:rsid w:val="009031F6"/>
    <w:rsid w:val="00903518"/>
    <w:rsid w:val="00903679"/>
    <w:rsid w:val="00903846"/>
    <w:rsid w:val="00903899"/>
    <w:rsid w:val="0090395E"/>
    <w:rsid w:val="00903C08"/>
    <w:rsid w:val="00903EFA"/>
    <w:rsid w:val="00904134"/>
    <w:rsid w:val="00904239"/>
    <w:rsid w:val="00904284"/>
    <w:rsid w:val="00904343"/>
    <w:rsid w:val="009043A8"/>
    <w:rsid w:val="009043B8"/>
    <w:rsid w:val="00904536"/>
    <w:rsid w:val="00904859"/>
    <w:rsid w:val="00904970"/>
    <w:rsid w:val="0090497A"/>
    <w:rsid w:val="00904E89"/>
    <w:rsid w:val="00905216"/>
    <w:rsid w:val="00905480"/>
    <w:rsid w:val="00905545"/>
    <w:rsid w:val="0090579E"/>
    <w:rsid w:val="00905838"/>
    <w:rsid w:val="009059CD"/>
    <w:rsid w:val="00905AC5"/>
    <w:rsid w:val="00905D1A"/>
    <w:rsid w:val="00905F6C"/>
    <w:rsid w:val="00905F87"/>
    <w:rsid w:val="00906143"/>
    <w:rsid w:val="00906457"/>
    <w:rsid w:val="00906750"/>
    <w:rsid w:val="009069D3"/>
    <w:rsid w:val="00907030"/>
    <w:rsid w:val="0090728B"/>
    <w:rsid w:val="0090743A"/>
    <w:rsid w:val="00907726"/>
    <w:rsid w:val="00907819"/>
    <w:rsid w:val="0090785A"/>
    <w:rsid w:val="00907866"/>
    <w:rsid w:val="00907A28"/>
    <w:rsid w:val="00907A5B"/>
    <w:rsid w:val="00907D24"/>
    <w:rsid w:val="00907D35"/>
    <w:rsid w:val="00907E02"/>
    <w:rsid w:val="0091019E"/>
    <w:rsid w:val="009105DC"/>
    <w:rsid w:val="00910A1A"/>
    <w:rsid w:val="00910B2B"/>
    <w:rsid w:val="00910BC6"/>
    <w:rsid w:val="00910E22"/>
    <w:rsid w:val="00911248"/>
    <w:rsid w:val="00911463"/>
    <w:rsid w:val="00911F28"/>
    <w:rsid w:val="00911F89"/>
    <w:rsid w:val="0091209D"/>
    <w:rsid w:val="009122BB"/>
    <w:rsid w:val="00912399"/>
    <w:rsid w:val="0091244C"/>
    <w:rsid w:val="009124E4"/>
    <w:rsid w:val="009125CD"/>
    <w:rsid w:val="0091267D"/>
    <w:rsid w:val="00912706"/>
    <w:rsid w:val="00912858"/>
    <w:rsid w:val="00912B8D"/>
    <w:rsid w:val="00912CFF"/>
    <w:rsid w:val="00912E51"/>
    <w:rsid w:val="00912F5A"/>
    <w:rsid w:val="009130A1"/>
    <w:rsid w:val="009131F0"/>
    <w:rsid w:val="00913638"/>
    <w:rsid w:val="0091384A"/>
    <w:rsid w:val="00913CAE"/>
    <w:rsid w:val="00913F2C"/>
    <w:rsid w:val="00914001"/>
    <w:rsid w:val="00914007"/>
    <w:rsid w:val="009141D9"/>
    <w:rsid w:val="00914238"/>
    <w:rsid w:val="009142F0"/>
    <w:rsid w:val="00914380"/>
    <w:rsid w:val="00914419"/>
    <w:rsid w:val="00914558"/>
    <w:rsid w:val="009145BC"/>
    <w:rsid w:val="009149D0"/>
    <w:rsid w:val="00914AE7"/>
    <w:rsid w:val="00914BC9"/>
    <w:rsid w:val="00914D4E"/>
    <w:rsid w:val="00914FE8"/>
    <w:rsid w:val="00915064"/>
    <w:rsid w:val="009150C4"/>
    <w:rsid w:val="009153F2"/>
    <w:rsid w:val="00915405"/>
    <w:rsid w:val="00915511"/>
    <w:rsid w:val="0091593A"/>
    <w:rsid w:val="00915D6B"/>
    <w:rsid w:val="0091642C"/>
    <w:rsid w:val="0091666F"/>
    <w:rsid w:val="00916B26"/>
    <w:rsid w:val="00916C05"/>
    <w:rsid w:val="00916D86"/>
    <w:rsid w:val="00916E0F"/>
    <w:rsid w:val="00916E90"/>
    <w:rsid w:val="0091740D"/>
    <w:rsid w:val="0091742E"/>
    <w:rsid w:val="00917528"/>
    <w:rsid w:val="00917534"/>
    <w:rsid w:val="009178F8"/>
    <w:rsid w:val="00917A46"/>
    <w:rsid w:val="00917C8B"/>
    <w:rsid w:val="00917D92"/>
    <w:rsid w:val="00917D9D"/>
    <w:rsid w:val="00920168"/>
    <w:rsid w:val="00920202"/>
    <w:rsid w:val="0092022B"/>
    <w:rsid w:val="00920645"/>
    <w:rsid w:val="009207BA"/>
    <w:rsid w:val="009207C1"/>
    <w:rsid w:val="00920A37"/>
    <w:rsid w:val="00920CE1"/>
    <w:rsid w:val="00920F0D"/>
    <w:rsid w:val="00920F7A"/>
    <w:rsid w:val="00921310"/>
    <w:rsid w:val="009213C9"/>
    <w:rsid w:val="009217BA"/>
    <w:rsid w:val="009219B1"/>
    <w:rsid w:val="00921DE6"/>
    <w:rsid w:val="00922093"/>
    <w:rsid w:val="009221A4"/>
    <w:rsid w:val="0092238B"/>
    <w:rsid w:val="00922543"/>
    <w:rsid w:val="009226C4"/>
    <w:rsid w:val="00922B14"/>
    <w:rsid w:val="00922B19"/>
    <w:rsid w:val="00922D2B"/>
    <w:rsid w:val="00922DD9"/>
    <w:rsid w:val="00922ECF"/>
    <w:rsid w:val="009230B9"/>
    <w:rsid w:val="009231D7"/>
    <w:rsid w:val="00923B80"/>
    <w:rsid w:val="00923F4D"/>
    <w:rsid w:val="009243E7"/>
    <w:rsid w:val="009246CD"/>
    <w:rsid w:val="00924723"/>
    <w:rsid w:val="00924807"/>
    <w:rsid w:val="009249FF"/>
    <w:rsid w:val="00924AC5"/>
    <w:rsid w:val="0092500F"/>
    <w:rsid w:val="009250C6"/>
    <w:rsid w:val="00925467"/>
    <w:rsid w:val="009256A9"/>
    <w:rsid w:val="00925757"/>
    <w:rsid w:val="00925871"/>
    <w:rsid w:val="00925A3F"/>
    <w:rsid w:val="00925BBC"/>
    <w:rsid w:val="00925C80"/>
    <w:rsid w:val="00925F38"/>
    <w:rsid w:val="00926124"/>
    <w:rsid w:val="0092662F"/>
    <w:rsid w:val="009268BF"/>
    <w:rsid w:val="00926905"/>
    <w:rsid w:val="00926966"/>
    <w:rsid w:val="00926A5B"/>
    <w:rsid w:val="00926F1A"/>
    <w:rsid w:val="0092776D"/>
    <w:rsid w:val="00927795"/>
    <w:rsid w:val="009278F5"/>
    <w:rsid w:val="009279CE"/>
    <w:rsid w:val="00927A2B"/>
    <w:rsid w:val="00927C91"/>
    <w:rsid w:val="00927CD8"/>
    <w:rsid w:val="00927EE6"/>
    <w:rsid w:val="00927F30"/>
    <w:rsid w:val="0093017A"/>
    <w:rsid w:val="0093049E"/>
    <w:rsid w:val="00930612"/>
    <w:rsid w:val="00930A27"/>
    <w:rsid w:val="00930C27"/>
    <w:rsid w:val="009311B3"/>
    <w:rsid w:val="00931B25"/>
    <w:rsid w:val="00931CCD"/>
    <w:rsid w:val="00931FAB"/>
    <w:rsid w:val="00932230"/>
    <w:rsid w:val="009328D4"/>
    <w:rsid w:val="00932A5E"/>
    <w:rsid w:val="00932B89"/>
    <w:rsid w:val="009330DD"/>
    <w:rsid w:val="00933710"/>
    <w:rsid w:val="00933902"/>
    <w:rsid w:val="00933C64"/>
    <w:rsid w:val="00933D3D"/>
    <w:rsid w:val="00933D4A"/>
    <w:rsid w:val="00933DB6"/>
    <w:rsid w:val="00933FE6"/>
    <w:rsid w:val="00934091"/>
    <w:rsid w:val="00934235"/>
    <w:rsid w:val="0093470B"/>
    <w:rsid w:val="00934B10"/>
    <w:rsid w:val="00934C40"/>
    <w:rsid w:val="009351FD"/>
    <w:rsid w:val="00935262"/>
    <w:rsid w:val="00935338"/>
    <w:rsid w:val="00935690"/>
    <w:rsid w:val="00935C3B"/>
    <w:rsid w:val="00935E36"/>
    <w:rsid w:val="00936205"/>
    <w:rsid w:val="00936269"/>
    <w:rsid w:val="00936615"/>
    <w:rsid w:val="00936C65"/>
    <w:rsid w:val="00936D71"/>
    <w:rsid w:val="00937064"/>
    <w:rsid w:val="009374BD"/>
    <w:rsid w:val="00937614"/>
    <w:rsid w:val="00937A0B"/>
    <w:rsid w:val="00937B57"/>
    <w:rsid w:val="00940028"/>
    <w:rsid w:val="00940357"/>
    <w:rsid w:val="009408AD"/>
    <w:rsid w:val="009410CD"/>
    <w:rsid w:val="00941381"/>
    <w:rsid w:val="00941407"/>
    <w:rsid w:val="00941437"/>
    <w:rsid w:val="00941FCE"/>
    <w:rsid w:val="00942062"/>
    <w:rsid w:val="00942819"/>
    <w:rsid w:val="00942B4E"/>
    <w:rsid w:val="00942B5A"/>
    <w:rsid w:val="009430D8"/>
    <w:rsid w:val="00943619"/>
    <w:rsid w:val="0094376A"/>
    <w:rsid w:val="00943835"/>
    <w:rsid w:val="00943883"/>
    <w:rsid w:val="00943A03"/>
    <w:rsid w:val="00943B82"/>
    <w:rsid w:val="00943CAF"/>
    <w:rsid w:val="00943FA7"/>
    <w:rsid w:val="009441C7"/>
    <w:rsid w:val="009441D8"/>
    <w:rsid w:val="0094444B"/>
    <w:rsid w:val="00944473"/>
    <w:rsid w:val="009444AC"/>
    <w:rsid w:val="00944672"/>
    <w:rsid w:val="00944700"/>
    <w:rsid w:val="009447CE"/>
    <w:rsid w:val="00944BD9"/>
    <w:rsid w:val="009453E1"/>
    <w:rsid w:val="009453E9"/>
    <w:rsid w:val="0094551C"/>
    <w:rsid w:val="0094558D"/>
    <w:rsid w:val="00945BDE"/>
    <w:rsid w:val="00945E0D"/>
    <w:rsid w:val="00946321"/>
    <w:rsid w:val="0094659C"/>
    <w:rsid w:val="009466B5"/>
    <w:rsid w:val="0094689C"/>
    <w:rsid w:val="00946B6F"/>
    <w:rsid w:val="00947372"/>
    <w:rsid w:val="00947535"/>
    <w:rsid w:val="00947761"/>
    <w:rsid w:val="00947B40"/>
    <w:rsid w:val="00947B99"/>
    <w:rsid w:val="0095015A"/>
    <w:rsid w:val="0095021E"/>
    <w:rsid w:val="0095038B"/>
    <w:rsid w:val="00950699"/>
    <w:rsid w:val="00950A5C"/>
    <w:rsid w:val="00951172"/>
    <w:rsid w:val="0095140E"/>
    <w:rsid w:val="009519F2"/>
    <w:rsid w:val="009521DD"/>
    <w:rsid w:val="0095247B"/>
    <w:rsid w:val="00952A10"/>
    <w:rsid w:val="00952C53"/>
    <w:rsid w:val="00952FA5"/>
    <w:rsid w:val="0095321E"/>
    <w:rsid w:val="0095323E"/>
    <w:rsid w:val="00953418"/>
    <w:rsid w:val="0095353F"/>
    <w:rsid w:val="00953D23"/>
    <w:rsid w:val="00953D82"/>
    <w:rsid w:val="00954168"/>
    <w:rsid w:val="009542C8"/>
    <w:rsid w:val="0095443F"/>
    <w:rsid w:val="009548F5"/>
    <w:rsid w:val="00954B1C"/>
    <w:rsid w:val="00954B3E"/>
    <w:rsid w:val="00954CAD"/>
    <w:rsid w:val="00954DB4"/>
    <w:rsid w:val="00954F02"/>
    <w:rsid w:val="009554C3"/>
    <w:rsid w:val="009555C5"/>
    <w:rsid w:val="009561D4"/>
    <w:rsid w:val="00956306"/>
    <w:rsid w:val="009567BA"/>
    <w:rsid w:val="00956A3E"/>
    <w:rsid w:val="00956CB6"/>
    <w:rsid w:val="00956DE1"/>
    <w:rsid w:val="00956FEE"/>
    <w:rsid w:val="009570C2"/>
    <w:rsid w:val="0095726F"/>
    <w:rsid w:val="00957288"/>
    <w:rsid w:val="00957B5C"/>
    <w:rsid w:val="00957B9B"/>
    <w:rsid w:val="00957DB0"/>
    <w:rsid w:val="00957EA2"/>
    <w:rsid w:val="00957F0C"/>
    <w:rsid w:val="0096011B"/>
    <w:rsid w:val="0096059E"/>
    <w:rsid w:val="009608C5"/>
    <w:rsid w:val="009608C9"/>
    <w:rsid w:val="00960B3B"/>
    <w:rsid w:val="00960D1C"/>
    <w:rsid w:val="00960E00"/>
    <w:rsid w:val="00960E1E"/>
    <w:rsid w:val="00960F0F"/>
    <w:rsid w:val="00960FD8"/>
    <w:rsid w:val="009617F2"/>
    <w:rsid w:val="0096198F"/>
    <w:rsid w:val="00961CA1"/>
    <w:rsid w:val="00961CDB"/>
    <w:rsid w:val="00961F9B"/>
    <w:rsid w:val="009621A9"/>
    <w:rsid w:val="009622DB"/>
    <w:rsid w:val="0096235E"/>
    <w:rsid w:val="009623D1"/>
    <w:rsid w:val="00962D59"/>
    <w:rsid w:val="00963204"/>
    <w:rsid w:val="00963519"/>
    <w:rsid w:val="009637C6"/>
    <w:rsid w:val="00963968"/>
    <w:rsid w:val="00963E6C"/>
    <w:rsid w:val="009640C6"/>
    <w:rsid w:val="00964164"/>
    <w:rsid w:val="0096428C"/>
    <w:rsid w:val="009649FB"/>
    <w:rsid w:val="00964B03"/>
    <w:rsid w:val="00964F12"/>
    <w:rsid w:val="00964F2A"/>
    <w:rsid w:val="00965193"/>
    <w:rsid w:val="009651AA"/>
    <w:rsid w:val="009652E1"/>
    <w:rsid w:val="00965329"/>
    <w:rsid w:val="00965785"/>
    <w:rsid w:val="009657DF"/>
    <w:rsid w:val="00965890"/>
    <w:rsid w:val="0096593A"/>
    <w:rsid w:val="009659A6"/>
    <w:rsid w:val="00966679"/>
    <w:rsid w:val="00966698"/>
    <w:rsid w:val="00966916"/>
    <w:rsid w:val="00966AA8"/>
    <w:rsid w:val="00966CAB"/>
    <w:rsid w:val="00966CB6"/>
    <w:rsid w:val="009672D5"/>
    <w:rsid w:val="009673E8"/>
    <w:rsid w:val="0096742F"/>
    <w:rsid w:val="0096746F"/>
    <w:rsid w:val="009675CC"/>
    <w:rsid w:val="009678B0"/>
    <w:rsid w:val="00967AFD"/>
    <w:rsid w:val="00970304"/>
    <w:rsid w:val="009703D9"/>
    <w:rsid w:val="009705AE"/>
    <w:rsid w:val="009707A7"/>
    <w:rsid w:val="00970897"/>
    <w:rsid w:val="00970961"/>
    <w:rsid w:val="00970AEA"/>
    <w:rsid w:val="00970D22"/>
    <w:rsid w:val="00970E68"/>
    <w:rsid w:val="00970FE0"/>
    <w:rsid w:val="0097103B"/>
    <w:rsid w:val="00971086"/>
    <w:rsid w:val="0097120B"/>
    <w:rsid w:val="00971326"/>
    <w:rsid w:val="00971376"/>
    <w:rsid w:val="009714C8"/>
    <w:rsid w:val="00971675"/>
    <w:rsid w:val="00971768"/>
    <w:rsid w:val="00971C5D"/>
    <w:rsid w:val="00971FF8"/>
    <w:rsid w:val="00972326"/>
    <w:rsid w:val="0097272B"/>
    <w:rsid w:val="009727FB"/>
    <w:rsid w:val="00972830"/>
    <w:rsid w:val="00972A2D"/>
    <w:rsid w:val="00972AD9"/>
    <w:rsid w:val="00972B43"/>
    <w:rsid w:val="00972CB5"/>
    <w:rsid w:val="00972CE8"/>
    <w:rsid w:val="00972DE4"/>
    <w:rsid w:val="00972E4B"/>
    <w:rsid w:val="00972F06"/>
    <w:rsid w:val="00973124"/>
    <w:rsid w:val="00973630"/>
    <w:rsid w:val="009738A3"/>
    <w:rsid w:val="009738C5"/>
    <w:rsid w:val="00973CDD"/>
    <w:rsid w:val="00973DD7"/>
    <w:rsid w:val="00973F85"/>
    <w:rsid w:val="0097401F"/>
    <w:rsid w:val="0097482D"/>
    <w:rsid w:val="009751D4"/>
    <w:rsid w:val="009751E8"/>
    <w:rsid w:val="00975A12"/>
    <w:rsid w:val="00975C25"/>
    <w:rsid w:val="00975D07"/>
    <w:rsid w:val="00976232"/>
    <w:rsid w:val="009762E7"/>
    <w:rsid w:val="009763C0"/>
    <w:rsid w:val="00976479"/>
    <w:rsid w:val="00976920"/>
    <w:rsid w:val="00976ADE"/>
    <w:rsid w:val="00976B83"/>
    <w:rsid w:val="00976DC1"/>
    <w:rsid w:val="0097731A"/>
    <w:rsid w:val="00977509"/>
    <w:rsid w:val="00977799"/>
    <w:rsid w:val="009779E5"/>
    <w:rsid w:val="00977A0F"/>
    <w:rsid w:val="00977B97"/>
    <w:rsid w:val="00977C77"/>
    <w:rsid w:val="00977F56"/>
    <w:rsid w:val="0098021D"/>
    <w:rsid w:val="0098023A"/>
    <w:rsid w:val="00980312"/>
    <w:rsid w:val="009804CF"/>
    <w:rsid w:val="00980740"/>
    <w:rsid w:val="00980922"/>
    <w:rsid w:val="00980A30"/>
    <w:rsid w:val="00980EC9"/>
    <w:rsid w:val="00980F96"/>
    <w:rsid w:val="00980FA3"/>
    <w:rsid w:val="009811C6"/>
    <w:rsid w:val="00981469"/>
    <w:rsid w:val="009817F7"/>
    <w:rsid w:val="0098195A"/>
    <w:rsid w:val="009819C1"/>
    <w:rsid w:val="009819D9"/>
    <w:rsid w:val="00981AFD"/>
    <w:rsid w:val="00981DBB"/>
    <w:rsid w:val="00981E4D"/>
    <w:rsid w:val="0098201B"/>
    <w:rsid w:val="0098206D"/>
    <w:rsid w:val="009820B4"/>
    <w:rsid w:val="00982398"/>
    <w:rsid w:val="00982438"/>
    <w:rsid w:val="0098271E"/>
    <w:rsid w:val="00982ECC"/>
    <w:rsid w:val="00983338"/>
    <w:rsid w:val="0098345A"/>
    <w:rsid w:val="0098355A"/>
    <w:rsid w:val="009838C7"/>
    <w:rsid w:val="009838E7"/>
    <w:rsid w:val="00983A3F"/>
    <w:rsid w:val="00983C43"/>
    <w:rsid w:val="00983DF3"/>
    <w:rsid w:val="00983E5E"/>
    <w:rsid w:val="00984DBA"/>
    <w:rsid w:val="00985079"/>
    <w:rsid w:val="009852A4"/>
    <w:rsid w:val="009854DA"/>
    <w:rsid w:val="00985605"/>
    <w:rsid w:val="00985636"/>
    <w:rsid w:val="009859CF"/>
    <w:rsid w:val="009859D5"/>
    <w:rsid w:val="00985E1F"/>
    <w:rsid w:val="00985E6E"/>
    <w:rsid w:val="00986111"/>
    <w:rsid w:val="0098638D"/>
    <w:rsid w:val="00986437"/>
    <w:rsid w:val="009864F9"/>
    <w:rsid w:val="00986775"/>
    <w:rsid w:val="00986914"/>
    <w:rsid w:val="0098692D"/>
    <w:rsid w:val="0098699A"/>
    <w:rsid w:val="00986C08"/>
    <w:rsid w:val="00987270"/>
    <w:rsid w:val="00987529"/>
    <w:rsid w:val="009875BC"/>
    <w:rsid w:val="00987681"/>
    <w:rsid w:val="009876D9"/>
    <w:rsid w:val="009877A2"/>
    <w:rsid w:val="00990219"/>
    <w:rsid w:val="0099049C"/>
    <w:rsid w:val="00990543"/>
    <w:rsid w:val="009907D9"/>
    <w:rsid w:val="009907EE"/>
    <w:rsid w:val="009907FF"/>
    <w:rsid w:val="009909EA"/>
    <w:rsid w:val="00990B65"/>
    <w:rsid w:val="009910C3"/>
    <w:rsid w:val="00991135"/>
    <w:rsid w:val="0099131A"/>
    <w:rsid w:val="0099142A"/>
    <w:rsid w:val="00991461"/>
    <w:rsid w:val="009914BB"/>
    <w:rsid w:val="0099193A"/>
    <w:rsid w:val="00991B45"/>
    <w:rsid w:val="00991C33"/>
    <w:rsid w:val="00991DE1"/>
    <w:rsid w:val="00992003"/>
    <w:rsid w:val="0099205B"/>
    <w:rsid w:val="0099207D"/>
    <w:rsid w:val="00992089"/>
    <w:rsid w:val="0099208B"/>
    <w:rsid w:val="009920B9"/>
    <w:rsid w:val="009921C9"/>
    <w:rsid w:val="00992E04"/>
    <w:rsid w:val="009933C2"/>
    <w:rsid w:val="00993524"/>
    <w:rsid w:val="00993933"/>
    <w:rsid w:val="00993B0E"/>
    <w:rsid w:val="00993BCB"/>
    <w:rsid w:val="00993F2A"/>
    <w:rsid w:val="0099421F"/>
    <w:rsid w:val="009942AF"/>
    <w:rsid w:val="009942BA"/>
    <w:rsid w:val="0099456E"/>
    <w:rsid w:val="0099476C"/>
    <w:rsid w:val="009947AA"/>
    <w:rsid w:val="0099483F"/>
    <w:rsid w:val="00994B8D"/>
    <w:rsid w:val="00994BAB"/>
    <w:rsid w:val="00994E41"/>
    <w:rsid w:val="00994E57"/>
    <w:rsid w:val="00994E85"/>
    <w:rsid w:val="0099508A"/>
    <w:rsid w:val="00995429"/>
    <w:rsid w:val="0099550D"/>
    <w:rsid w:val="009959A9"/>
    <w:rsid w:val="00995CC6"/>
    <w:rsid w:val="00995CD9"/>
    <w:rsid w:val="00995D57"/>
    <w:rsid w:val="0099617D"/>
    <w:rsid w:val="0099667B"/>
    <w:rsid w:val="00996AFE"/>
    <w:rsid w:val="00997160"/>
    <w:rsid w:val="0099738D"/>
    <w:rsid w:val="0099765B"/>
    <w:rsid w:val="00997EDF"/>
    <w:rsid w:val="00997F91"/>
    <w:rsid w:val="00997FE5"/>
    <w:rsid w:val="009A00D9"/>
    <w:rsid w:val="009A023A"/>
    <w:rsid w:val="009A027E"/>
    <w:rsid w:val="009A0498"/>
    <w:rsid w:val="009A0629"/>
    <w:rsid w:val="009A0B3C"/>
    <w:rsid w:val="009A0E39"/>
    <w:rsid w:val="009A1685"/>
    <w:rsid w:val="009A1757"/>
    <w:rsid w:val="009A19D0"/>
    <w:rsid w:val="009A1D2F"/>
    <w:rsid w:val="009A224E"/>
    <w:rsid w:val="009A2421"/>
    <w:rsid w:val="009A30C8"/>
    <w:rsid w:val="009A336C"/>
    <w:rsid w:val="009A33EE"/>
    <w:rsid w:val="009A34F7"/>
    <w:rsid w:val="009A3620"/>
    <w:rsid w:val="009A3697"/>
    <w:rsid w:val="009A3A42"/>
    <w:rsid w:val="009A3ED1"/>
    <w:rsid w:val="009A3EE4"/>
    <w:rsid w:val="009A3F28"/>
    <w:rsid w:val="009A4383"/>
    <w:rsid w:val="009A4B0A"/>
    <w:rsid w:val="009A4E72"/>
    <w:rsid w:val="009A5417"/>
    <w:rsid w:val="009A5610"/>
    <w:rsid w:val="009A5A15"/>
    <w:rsid w:val="009A5D0C"/>
    <w:rsid w:val="009A5E39"/>
    <w:rsid w:val="009A648B"/>
    <w:rsid w:val="009A65A1"/>
    <w:rsid w:val="009A67FF"/>
    <w:rsid w:val="009A6D68"/>
    <w:rsid w:val="009A6E28"/>
    <w:rsid w:val="009A717C"/>
    <w:rsid w:val="009A72A5"/>
    <w:rsid w:val="009A75A3"/>
    <w:rsid w:val="009A760B"/>
    <w:rsid w:val="009A76E6"/>
    <w:rsid w:val="009A7726"/>
    <w:rsid w:val="009B0109"/>
    <w:rsid w:val="009B0666"/>
    <w:rsid w:val="009B07C2"/>
    <w:rsid w:val="009B0C42"/>
    <w:rsid w:val="009B13EF"/>
    <w:rsid w:val="009B158A"/>
    <w:rsid w:val="009B16AD"/>
    <w:rsid w:val="009B172A"/>
    <w:rsid w:val="009B1CF3"/>
    <w:rsid w:val="009B2175"/>
    <w:rsid w:val="009B2520"/>
    <w:rsid w:val="009B2E23"/>
    <w:rsid w:val="009B2F3F"/>
    <w:rsid w:val="009B2F92"/>
    <w:rsid w:val="009B3208"/>
    <w:rsid w:val="009B33AE"/>
    <w:rsid w:val="009B33BA"/>
    <w:rsid w:val="009B350B"/>
    <w:rsid w:val="009B3B60"/>
    <w:rsid w:val="009B3D1B"/>
    <w:rsid w:val="009B4473"/>
    <w:rsid w:val="009B4595"/>
    <w:rsid w:val="009B46B8"/>
    <w:rsid w:val="009B474E"/>
    <w:rsid w:val="009B47DB"/>
    <w:rsid w:val="009B4B92"/>
    <w:rsid w:val="009B4EF4"/>
    <w:rsid w:val="009B50FF"/>
    <w:rsid w:val="009B5155"/>
    <w:rsid w:val="009B5203"/>
    <w:rsid w:val="009B55F4"/>
    <w:rsid w:val="009B572A"/>
    <w:rsid w:val="009B58FE"/>
    <w:rsid w:val="009B5A16"/>
    <w:rsid w:val="009B5A4E"/>
    <w:rsid w:val="009B5B5D"/>
    <w:rsid w:val="009B5BE9"/>
    <w:rsid w:val="009B5DF7"/>
    <w:rsid w:val="009B63B0"/>
    <w:rsid w:val="009B6476"/>
    <w:rsid w:val="009B6582"/>
    <w:rsid w:val="009B6631"/>
    <w:rsid w:val="009B66C1"/>
    <w:rsid w:val="009B6782"/>
    <w:rsid w:val="009B6FFA"/>
    <w:rsid w:val="009B715F"/>
    <w:rsid w:val="009B740C"/>
    <w:rsid w:val="009B75B9"/>
    <w:rsid w:val="009B7941"/>
    <w:rsid w:val="009B7C27"/>
    <w:rsid w:val="009B7D22"/>
    <w:rsid w:val="009C02CA"/>
    <w:rsid w:val="009C08F2"/>
    <w:rsid w:val="009C08FC"/>
    <w:rsid w:val="009C12CB"/>
    <w:rsid w:val="009C1578"/>
    <w:rsid w:val="009C179F"/>
    <w:rsid w:val="009C1BEF"/>
    <w:rsid w:val="009C1C53"/>
    <w:rsid w:val="009C1C86"/>
    <w:rsid w:val="009C1D57"/>
    <w:rsid w:val="009C1F0D"/>
    <w:rsid w:val="009C1F70"/>
    <w:rsid w:val="009C1FF2"/>
    <w:rsid w:val="009C2752"/>
    <w:rsid w:val="009C295E"/>
    <w:rsid w:val="009C2B8A"/>
    <w:rsid w:val="009C2BB5"/>
    <w:rsid w:val="009C2C72"/>
    <w:rsid w:val="009C2DC8"/>
    <w:rsid w:val="009C2EC1"/>
    <w:rsid w:val="009C3003"/>
    <w:rsid w:val="009C3897"/>
    <w:rsid w:val="009C416E"/>
    <w:rsid w:val="009C425E"/>
    <w:rsid w:val="009C42D5"/>
    <w:rsid w:val="009C4375"/>
    <w:rsid w:val="009C44B2"/>
    <w:rsid w:val="009C44D9"/>
    <w:rsid w:val="009C4731"/>
    <w:rsid w:val="009C4743"/>
    <w:rsid w:val="009C4C3A"/>
    <w:rsid w:val="009C5400"/>
    <w:rsid w:val="009C55BC"/>
    <w:rsid w:val="009C55C6"/>
    <w:rsid w:val="009C5984"/>
    <w:rsid w:val="009C5B55"/>
    <w:rsid w:val="009C5E1D"/>
    <w:rsid w:val="009C5F23"/>
    <w:rsid w:val="009C6001"/>
    <w:rsid w:val="009C60BC"/>
    <w:rsid w:val="009C61DF"/>
    <w:rsid w:val="009C6539"/>
    <w:rsid w:val="009C6858"/>
    <w:rsid w:val="009C69F5"/>
    <w:rsid w:val="009C7408"/>
    <w:rsid w:val="009C7453"/>
    <w:rsid w:val="009C779B"/>
    <w:rsid w:val="009C7955"/>
    <w:rsid w:val="009C7E21"/>
    <w:rsid w:val="009C7EBD"/>
    <w:rsid w:val="009C7ECF"/>
    <w:rsid w:val="009D024A"/>
    <w:rsid w:val="009D0250"/>
    <w:rsid w:val="009D02C4"/>
    <w:rsid w:val="009D0312"/>
    <w:rsid w:val="009D0922"/>
    <w:rsid w:val="009D0BF4"/>
    <w:rsid w:val="009D0C25"/>
    <w:rsid w:val="009D0C4C"/>
    <w:rsid w:val="009D0E74"/>
    <w:rsid w:val="009D0FAE"/>
    <w:rsid w:val="009D11E8"/>
    <w:rsid w:val="009D120C"/>
    <w:rsid w:val="009D128C"/>
    <w:rsid w:val="009D12D6"/>
    <w:rsid w:val="009D148A"/>
    <w:rsid w:val="009D160A"/>
    <w:rsid w:val="009D1688"/>
    <w:rsid w:val="009D1CBA"/>
    <w:rsid w:val="009D1F5C"/>
    <w:rsid w:val="009D2040"/>
    <w:rsid w:val="009D279B"/>
    <w:rsid w:val="009D294C"/>
    <w:rsid w:val="009D2A01"/>
    <w:rsid w:val="009D2AED"/>
    <w:rsid w:val="009D3353"/>
    <w:rsid w:val="009D368B"/>
    <w:rsid w:val="009D3988"/>
    <w:rsid w:val="009D4197"/>
    <w:rsid w:val="009D41D5"/>
    <w:rsid w:val="009D4507"/>
    <w:rsid w:val="009D454F"/>
    <w:rsid w:val="009D4930"/>
    <w:rsid w:val="009D4A45"/>
    <w:rsid w:val="009D4AEC"/>
    <w:rsid w:val="009D4D83"/>
    <w:rsid w:val="009D4EF3"/>
    <w:rsid w:val="009D51E8"/>
    <w:rsid w:val="009D533D"/>
    <w:rsid w:val="009D58C3"/>
    <w:rsid w:val="009D5BAA"/>
    <w:rsid w:val="009D5CFD"/>
    <w:rsid w:val="009D5D11"/>
    <w:rsid w:val="009D5DF8"/>
    <w:rsid w:val="009D646D"/>
    <w:rsid w:val="009D687C"/>
    <w:rsid w:val="009D6A79"/>
    <w:rsid w:val="009D6D7E"/>
    <w:rsid w:val="009D6D7F"/>
    <w:rsid w:val="009D6FC7"/>
    <w:rsid w:val="009D6FDA"/>
    <w:rsid w:val="009D785C"/>
    <w:rsid w:val="009D7891"/>
    <w:rsid w:val="009D7897"/>
    <w:rsid w:val="009D78DE"/>
    <w:rsid w:val="009D7B68"/>
    <w:rsid w:val="009D7CC6"/>
    <w:rsid w:val="009D7EC2"/>
    <w:rsid w:val="009D7EF0"/>
    <w:rsid w:val="009E01EB"/>
    <w:rsid w:val="009E03EA"/>
    <w:rsid w:val="009E04BC"/>
    <w:rsid w:val="009E0500"/>
    <w:rsid w:val="009E07CA"/>
    <w:rsid w:val="009E093E"/>
    <w:rsid w:val="009E0C14"/>
    <w:rsid w:val="009E1430"/>
    <w:rsid w:val="009E15B9"/>
    <w:rsid w:val="009E177C"/>
    <w:rsid w:val="009E1812"/>
    <w:rsid w:val="009E1996"/>
    <w:rsid w:val="009E1C76"/>
    <w:rsid w:val="009E1E1C"/>
    <w:rsid w:val="009E245A"/>
    <w:rsid w:val="009E2513"/>
    <w:rsid w:val="009E25C3"/>
    <w:rsid w:val="009E28A3"/>
    <w:rsid w:val="009E2A99"/>
    <w:rsid w:val="009E2B20"/>
    <w:rsid w:val="009E2F6D"/>
    <w:rsid w:val="009E311B"/>
    <w:rsid w:val="009E3189"/>
    <w:rsid w:val="009E3358"/>
    <w:rsid w:val="009E3450"/>
    <w:rsid w:val="009E349D"/>
    <w:rsid w:val="009E3C0C"/>
    <w:rsid w:val="009E3C71"/>
    <w:rsid w:val="009E3CDF"/>
    <w:rsid w:val="009E3D14"/>
    <w:rsid w:val="009E3F5E"/>
    <w:rsid w:val="009E3F75"/>
    <w:rsid w:val="009E4454"/>
    <w:rsid w:val="009E44D6"/>
    <w:rsid w:val="009E453D"/>
    <w:rsid w:val="009E4656"/>
    <w:rsid w:val="009E4861"/>
    <w:rsid w:val="009E4919"/>
    <w:rsid w:val="009E4ED7"/>
    <w:rsid w:val="009E53AE"/>
    <w:rsid w:val="009E5493"/>
    <w:rsid w:val="009E564E"/>
    <w:rsid w:val="009E5794"/>
    <w:rsid w:val="009E59AC"/>
    <w:rsid w:val="009E5A78"/>
    <w:rsid w:val="009E5ABB"/>
    <w:rsid w:val="009E5AE2"/>
    <w:rsid w:val="009E5B5F"/>
    <w:rsid w:val="009E5BA4"/>
    <w:rsid w:val="009E638B"/>
    <w:rsid w:val="009E68BE"/>
    <w:rsid w:val="009E69D1"/>
    <w:rsid w:val="009E6AE3"/>
    <w:rsid w:val="009E6BFF"/>
    <w:rsid w:val="009E6C7B"/>
    <w:rsid w:val="009E6CCF"/>
    <w:rsid w:val="009E6F81"/>
    <w:rsid w:val="009E7343"/>
    <w:rsid w:val="009E75BF"/>
    <w:rsid w:val="009F006D"/>
    <w:rsid w:val="009F032D"/>
    <w:rsid w:val="009F0357"/>
    <w:rsid w:val="009F0467"/>
    <w:rsid w:val="009F1372"/>
    <w:rsid w:val="009F1488"/>
    <w:rsid w:val="009F16AD"/>
    <w:rsid w:val="009F1736"/>
    <w:rsid w:val="009F17A3"/>
    <w:rsid w:val="009F17D3"/>
    <w:rsid w:val="009F188A"/>
    <w:rsid w:val="009F18D7"/>
    <w:rsid w:val="009F1CB1"/>
    <w:rsid w:val="009F1FCC"/>
    <w:rsid w:val="009F20DB"/>
    <w:rsid w:val="009F2242"/>
    <w:rsid w:val="009F2283"/>
    <w:rsid w:val="009F25F2"/>
    <w:rsid w:val="009F278C"/>
    <w:rsid w:val="009F2A4E"/>
    <w:rsid w:val="009F2D1C"/>
    <w:rsid w:val="009F3059"/>
    <w:rsid w:val="009F325E"/>
    <w:rsid w:val="009F360A"/>
    <w:rsid w:val="009F3729"/>
    <w:rsid w:val="009F3730"/>
    <w:rsid w:val="009F3850"/>
    <w:rsid w:val="009F3EA8"/>
    <w:rsid w:val="009F3F2A"/>
    <w:rsid w:val="009F433D"/>
    <w:rsid w:val="009F4442"/>
    <w:rsid w:val="009F487E"/>
    <w:rsid w:val="009F499F"/>
    <w:rsid w:val="009F4C7D"/>
    <w:rsid w:val="009F4E3B"/>
    <w:rsid w:val="009F54F4"/>
    <w:rsid w:val="009F56F3"/>
    <w:rsid w:val="009F59D7"/>
    <w:rsid w:val="009F5CF0"/>
    <w:rsid w:val="009F5E88"/>
    <w:rsid w:val="009F614C"/>
    <w:rsid w:val="009F6293"/>
    <w:rsid w:val="009F6B19"/>
    <w:rsid w:val="009F6C0D"/>
    <w:rsid w:val="009F6C3B"/>
    <w:rsid w:val="009F6DA3"/>
    <w:rsid w:val="009F7B74"/>
    <w:rsid w:val="009F7C19"/>
    <w:rsid w:val="009F7D0C"/>
    <w:rsid w:val="009F7FC9"/>
    <w:rsid w:val="00A001D6"/>
    <w:rsid w:val="00A0023B"/>
    <w:rsid w:val="00A00463"/>
    <w:rsid w:val="00A00687"/>
    <w:rsid w:val="00A00993"/>
    <w:rsid w:val="00A00C97"/>
    <w:rsid w:val="00A00DFF"/>
    <w:rsid w:val="00A00FB5"/>
    <w:rsid w:val="00A00FD8"/>
    <w:rsid w:val="00A01099"/>
    <w:rsid w:val="00A010FF"/>
    <w:rsid w:val="00A011F3"/>
    <w:rsid w:val="00A01862"/>
    <w:rsid w:val="00A01BD6"/>
    <w:rsid w:val="00A01F02"/>
    <w:rsid w:val="00A028CC"/>
    <w:rsid w:val="00A02920"/>
    <w:rsid w:val="00A02B78"/>
    <w:rsid w:val="00A02BBF"/>
    <w:rsid w:val="00A02E3F"/>
    <w:rsid w:val="00A02F7F"/>
    <w:rsid w:val="00A032DB"/>
    <w:rsid w:val="00A038EA"/>
    <w:rsid w:val="00A03912"/>
    <w:rsid w:val="00A03A33"/>
    <w:rsid w:val="00A03B10"/>
    <w:rsid w:val="00A03D82"/>
    <w:rsid w:val="00A03D85"/>
    <w:rsid w:val="00A03F40"/>
    <w:rsid w:val="00A03FC4"/>
    <w:rsid w:val="00A03FEE"/>
    <w:rsid w:val="00A040EA"/>
    <w:rsid w:val="00A0435C"/>
    <w:rsid w:val="00A0452A"/>
    <w:rsid w:val="00A0455D"/>
    <w:rsid w:val="00A04656"/>
    <w:rsid w:val="00A0482F"/>
    <w:rsid w:val="00A04945"/>
    <w:rsid w:val="00A049CE"/>
    <w:rsid w:val="00A049D0"/>
    <w:rsid w:val="00A04A08"/>
    <w:rsid w:val="00A04AC1"/>
    <w:rsid w:val="00A04B42"/>
    <w:rsid w:val="00A05060"/>
    <w:rsid w:val="00A05205"/>
    <w:rsid w:val="00A05315"/>
    <w:rsid w:val="00A05368"/>
    <w:rsid w:val="00A05418"/>
    <w:rsid w:val="00A054AB"/>
    <w:rsid w:val="00A057C8"/>
    <w:rsid w:val="00A05960"/>
    <w:rsid w:val="00A05968"/>
    <w:rsid w:val="00A05C72"/>
    <w:rsid w:val="00A06203"/>
    <w:rsid w:val="00A0626C"/>
    <w:rsid w:val="00A0635E"/>
    <w:rsid w:val="00A06545"/>
    <w:rsid w:val="00A06A7B"/>
    <w:rsid w:val="00A06BB2"/>
    <w:rsid w:val="00A06D54"/>
    <w:rsid w:val="00A071A1"/>
    <w:rsid w:val="00A074B7"/>
    <w:rsid w:val="00A075F8"/>
    <w:rsid w:val="00A078CC"/>
    <w:rsid w:val="00A07BA8"/>
    <w:rsid w:val="00A07C20"/>
    <w:rsid w:val="00A07C5A"/>
    <w:rsid w:val="00A07D62"/>
    <w:rsid w:val="00A07E39"/>
    <w:rsid w:val="00A07FF6"/>
    <w:rsid w:val="00A10022"/>
    <w:rsid w:val="00A10258"/>
    <w:rsid w:val="00A1032E"/>
    <w:rsid w:val="00A10410"/>
    <w:rsid w:val="00A106E7"/>
    <w:rsid w:val="00A108E2"/>
    <w:rsid w:val="00A10957"/>
    <w:rsid w:val="00A10EC0"/>
    <w:rsid w:val="00A10FFA"/>
    <w:rsid w:val="00A116C6"/>
    <w:rsid w:val="00A118FF"/>
    <w:rsid w:val="00A11A48"/>
    <w:rsid w:val="00A11B91"/>
    <w:rsid w:val="00A11CCD"/>
    <w:rsid w:val="00A11FD6"/>
    <w:rsid w:val="00A123B4"/>
    <w:rsid w:val="00A1272A"/>
    <w:rsid w:val="00A128E3"/>
    <w:rsid w:val="00A12E46"/>
    <w:rsid w:val="00A130B6"/>
    <w:rsid w:val="00A133BB"/>
    <w:rsid w:val="00A1369A"/>
    <w:rsid w:val="00A138CB"/>
    <w:rsid w:val="00A13B14"/>
    <w:rsid w:val="00A13FBB"/>
    <w:rsid w:val="00A140B2"/>
    <w:rsid w:val="00A141BC"/>
    <w:rsid w:val="00A143A3"/>
    <w:rsid w:val="00A143F1"/>
    <w:rsid w:val="00A14532"/>
    <w:rsid w:val="00A145AD"/>
    <w:rsid w:val="00A147DC"/>
    <w:rsid w:val="00A1499F"/>
    <w:rsid w:val="00A149DA"/>
    <w:rsid w:val="00A14B95"/>
    <w:rsid w:val="00A14DBC"/>
    <w:rsid w:val="00A14F40"/>
    <w:rsid w:val="00A14FD5"/>
    <w:rsid w:val="00A15162"/>
    <w:rsid w:val="00A1527A"/>
    <w:rsid w:val="00A15FB5"/>
    <w:rsid w:val="00A1612E"/>
    <w:rsid w:val="00A162C0"/>
    <w:rsid w:val="00A16432"/>
    <w:rsid w:val="00A16619"/>
    <w:rsid w:val="00A166BC"/>
    <w:rsid w:val="00A16838"/>
    <w:rsid w:val="00A16911"/>
    <w:rsid w:val="00A16A16"/>
    <w:rsid w:val="00A16C60"/>
    <w:rsid w:val="00A16E61"/>
    <w:rsid w:val="00A16F47"/>
    <w:rsid w:val="00A16F81"/>
    <w:rsid w:val="00A178E4"/>
    <w:rsid w:val="00A1799F"/>
    <w:rsid w:val="00A17C5A"/>
    <w:rsid w:val="00A17E9C"/>
    <w:rsid w:val="00A20057"/>
    <w:rsid w:val="00A2010F"/>
    <w:rsid w:val="00A204FF"/>
    <w:rsid w:val="00A206F4"/>
    <w:rsid w:val="00A207CE"/>
    <w:rsid w:val="00A20890"/>
    <w:rsid w:val="00A20A50"/>
    <w:rsid w:val="00A20D65"/>
    <w:rsid w:val="00A20EE5"/>
    <w:rsid w:val="00A20FDA"/>
    <w:rsid w:val="00A2135D"/>
    <w:rsid w:val="00A21463"/>
    <w:rsid w:val="00A21482"/>
    <w:rsid w:val="00A21847"/>
    <w:rsid w:val="00A21CE3"/>
    <w:rsid w:val="00A21F4E"/>
    <w:rsid w:val="00A22219"/>
    <w:rsid w:val="00A228C4"/>
    <w:rsid w:val="00A22961"/>
    <w:rsid w:val="00A229E6"/>
    <w:rsid w:val="00A22BCB"/>
    <w:rsid w:val="00A22F14"/>
    <w:rsid w:val="00A230EC"/>
    <w:rsid w:val="00A2324A"/>
    <w:rsid w:val="00A23255"/>
    <w:rsid w:val="00A23303"/>
    <w:rsid w:val="00A23BDD"/>
    <w:rsid w:val="00A23DF2"/>
    <w:rsid w:val="00A240E5"/>
    <w:rsid w:val="00A24120"/>
    <w:rsid w:val="00A241F8"/>
    <w:rsid w:val="00A24A40"/>
    <w:rsid w:val="00A24BFB"/>
    <w:rsid w:val="00A25230"/>
    <w:rsid w:val="00A25456"/>
    <w:rsid w:val="00A25726"/>
    <w:rsid w:val="00A258B4"/>
    <w:rsid w:val="00A25983"/>
    <w:rsid w:val="00A25EAE"/>
    <w:rsid w:val="00A25FA6"/>
    <w:rsid w:val="00A2622C"/>
    <w:rsid w:val="00A26306"/>
    <w:rsid w:val="00A263EA"/>
    <w:rsid w:val="00A2641E"/>
    <w:rsid w:val="00A266FD"/>
    <w:rsid w:val="00A26807"/>
    <w:rsid w:val="00A26A69"/>
    <w:rsid w:val="00A26E79"/>
    <w:rsid w:val="00A26F01"/>
    <w:rsid w:val="00A274E0"/>
    <w:rsid w:val="00A27665"/>
    <w:rsid w:val="00A2786A"/>
    <w:rsid w:val="00A27898"/>
    <w:rsid w:val="00A278D0"/>
    <w:rsid w:val="00A27959"/>
    <w:rsid w:val="00A27A4F"/>
    <w:rsid w:val="00A27C4B"/>
    <w:rsid w:val="00A27E96"/>
    <w:rsid w:val="00A27F3A"/>
    <w:rsid w:val="00A3005C"/>
    <w:rsid w:val="00A3007D"/>
    <w:rsid w:val="00A300AA"/>
    <w:rsid w:val="00A3028D"/>
    <w:rsid w:val="00A302A2"/>
    <w:rsid w:val="00A302D8"/>
    <w:rsid w:val="00A3035A"/>
    <w:rsid w:val="00A30398"/>
    <w:rsid w:val="00A30539"/>
    <w:rsid w:val="00A3089C"/>
    <w:rsid w:val="00A30B42"/>
    <w:rsid w:val="00A30D78"/>
    <w:rsid w:val="00A30F9E"/>
    <w:rsid w:val="00A31288"/>
    <w:rsid w:val="00A31521"/>
    <w:rsid w:val="00A317D4"/>
    <w:rsid w:val="00A31877"/>
    <w:rsid w:val="00A318EC"/>
    <w:rsid w:val="00A31A89"/>
    <w:rsid w:val="00A31DEF"/>
    <w:rsid w:val="00A31F49"/>
    <w:rsid w:val="00A31FE2"/>
    <w:rsid w:val="00A3239D"/>
    <w:rsid w:val="00A327B8"/>
    <w:rsid w:val="00A328DB"/>
    <w:rsid w:val="00A32B45"/>
    <w:rsid w:val="00A32D9E"/>
    <w:rsid w:val="00A32F51"/>
    <w:rsid w:val="00A330A6"/>
    <w:rsid w:val="00A33389"/>
    <w:rsid w:val="00A333EA"/>
    <w:rsid w:val="00A33760"/>
    <w:rsid w:val="00A33B6A"/>
    <w:rsid w:val="00A33EC0"/>
    <w:rsid w:val="00A33F86"/>
    <w:rsid w:val="00A340A8"/>
    <w:rsid w:val="00A3438E"/>
    <w:rsid w:val="00A343B5"/>
    <w:rsid w:val="00A3491B"/>
    <w:rsid w:val="00A34A2C"/>
    <w:rsid w:val="00A34B97"/>
    <w:rsid w:val="00A34FC5"/>
    <w:rsid w:val="00A351E3"/>
    <w:rsid w:val="00A357AD"/>
    <w:rsid w:val="00A359F4"/>
    <w:rsid w:val="00A35C25"/>
    <w:rsid w:val="00A35CE6"/>
    <w:rsid w:val="00A35FB0"/>
    <w:rsid w:val="00A36285"/>
    <w:rsid w:val="00A364D6"/>
    <w:rsid w:val="00A36734"/>
    <w:rsid w:val="00A367BA"/>
    <w:rsid w:val="00A36EDB"/>
    <w:rsid w:val="00A3709E"/>
    <w:rsid w:val="00A373A2"/>
    <w:rsid w:val="00A37608"/>
    <w:rsid w:val="00A376A6"/>
    <w:rsid w:val="00A379D0"/>
    <w:rsid w:val="00A37B30"/>
    <w:rsid w:val="00A37BF5"/>
    <w:rsid w:val="00A37C44"/>
    <w:rsid w:val="00A37D79"/>
    <w:rsid w:val="00A400DA"/>
    <w:rsid w:val="00A4023C"/>
    <w:rsid w:val="00A4071A"/>
    <w:rsid w:val="00A4080C"/>
    <w:rsid w:val="00A40880"/>
    <w:rsid w:val="00A40BCF"/>
    <w:rsid w:val="00A40EBA"/>
    <w:rsid w:val="00A413F5"/>
    <w:rsid w:val="00A414F1"/>
    <w:rsid w:val="00A418A7"/>
    <w:rsid w:val="00A4195E"/>
    <w:rsid w:val="00A41CBC"/>
    <w:rsid w:val="00A42499"/>
    <w:rsid w:val="00A42902"/>
    <w:rsid w:val="00A42A27"/>
    <w:rsid w:val="00A42B7F"/>
    <w:rsid w:val="00A42F08"/>
    <w:rsid w:val="00A43164"/>
    <w:rsid w:val="00A43274"/>
    <w:rsid w:val="00A434FE"/>
    <w:rsid w:val="00A4350F"/>
    <w:rsid w:val="00A438E1"/>
    <w:rsid w:val="00A43F47"/>
    <w:rsid w:val="00A43F55"/>
    <w:rsid w:val="00A43F6E"/>
    <w:rsid w:val="00A440D8"/>
    <w:rsid w:val="00A44493"/>
    <w:rsid w:val="00A447A1"/>
    <w:rsid w:val="00A448CA"/>
    <w:rsid w:val="00A44B76"/>
    <w:rsid w:val="00A44BAF"/>
    <w:rsid w:val="00A44FAA"/>
    <w:rsid w:val="00A45555"/>
    <w:rsid w:val="00A455C6"/>
    <w:rsid w:val="00A4564E"/>
    <w:rsid w:val="00A456F8"/>
    <w:rsid w:val="00A459BE"/>
    <w:rsid w:val="00A45A92"/>
    <w:rsid w:val="00A45ACE"/>
    <w:rsid w:val="00A45D4A"/>
    <w:rsid w:val="00A45E36"/>
    <w:rsid w:val="00A46152"/>
    <w:rsid w:val="00A46237"/>
    <w:rsid w:val="00A464C5"/>
    <w:rsid w:val="00A4656A"/>
    <w:rsid w:val="00A465B4"/>
    <w:rsid w:val="00A46673"/>
    <w:rsid w:val="00A46D88"/>
    <w:rsid w:val="00A46F96"/>
    <w:rsid w:val="00A46FB6"/>
    <w:rsid w:val="00A47026"/>
    <w:rsid w:val="00A470C1"/>
    <w:rsid w:val="00A471E8"/>
    <w:rsid w:val="00A4733F"/>
    <w:rsid w:val="00A47B3F"/>
    <w:rsid w:val="00A47BE8"/>
    <w:rsid w:val="00A47C04"/>
    <w:rsid w:val="00A500B1"/>
    <w:rsid w:val="00A5016F"/>
    <w:rsid w:val="00A50247"/>
    <w:rsid w:val="00A50813"/>
    <w:rsid w:val="00A508A9"/>
    <w:rsid w:val="00A50EAC"/>
    <w:rsid w:val="00A51024"/>
    <w:rsid w:val="00A51121"/>
    <w:rsid w:val="00A511CF"/>
    <w:rsid w:val="00A511E5"/>
    <w:rsid w:val="00A513D6"/>
    <w:rsid w:val="00A516A5"/>
    <w:rsid w:val="00A51D35"/>
    <w:rsid w:val="00A520AF"/>
    <w:rsid w:val="00A52260"/>
    <w:rsid w:val="00A522D3"/>
    <w:rsid w:val="00A525CA"/>
    <w:rsid w:val="00A5260B"/>
    <w:rsid w:val="00A5270A"/>
    <w:rsid w:val="00A529AE"/>
    <w:rsid w:val="00A52B68"/>
    <w:rsid w:val="00A52BF0"/>
    <w:rsid w:val="00A52CA8"/>
    <w:rsid w:val="00A52D7F"/>
    <w:rsid w:val="00A52DA8"/>
    <w:rsid w:val="00A53006"/>
    <w:rsid w:val="00A5313F"/>
    <w:rsid w:val="00A532A2"/>
    <w:rsid w:val="00A53445"/>
    <w:rsid w:val="00A53683"/>
    <w:rsid w:val="00A538F3"/>
    <w:rsid w:val="00A53A23"/>
    <w:rsid w:val="00A53EB4"/>
    <w:rsid w:val="00A53FE5"/>
    <w:rsid w:val="00A54319"/>
    <w:rsid w:val="00A5469D"/>
    <w:rsid w:val="00A54763"/>
    <w:rsid w:val="00A54781"/>
    <w:rsid w:val="00A548FA"/>
    <w:rsid w:val="00A54BF9"/>
    <w:rsid w:val="00A5514C"/>
    <w:rsid w:val="00A55261"/>
    <w:rsid w:val="00A5543A"/>
    <w:rsid w:val="00A5551A"/>
    <w:rsid w:val="00A5561E"/>
    <w:rsid w:val="00A557DA"/>
    <w:rsid w:val="00A55A92"/>
    <w:rsid w:val="00A55CEE"/>
    <w:rsid w:val="00A5602E"/>
    <w:rsid w:val="00A5621F"/>
    <w:rsid w:val="00A56287"/>
    <w:rsid w:val="00A562A6"/>
    <w:rsid w:val="00A565E3"/>
    <w:rsid w:val="00A56676"/>
    <w:rsid w:val="00A568E9"/>
    <w:rsid w:val="00A5690E"/>
    <w:rsid w:val="00A56C18"/>
    <w:rsid w:val="00A56FE3"/>
    <w:rsid w:val="00A57159"/>
    <w:rsid w:val="00A57668"/>
    <w:rsid w:val="00A576A2"/>
    <w:rsid w:val="00A577C3"/>
    <w:rsid w:val="00A577CD"/>
    <w:rsid w:val="00A579E7"/>
    <w:rsid w:val="00A60211"/>
    <w:rsid w:val="00A6022F"/>
    <w:rsid w:val="00A602C5"/>
    <w:rsid w:val="00A60341"/>
    <w:rsid w:val="00A60422"/>
    <w:rsid w:val="00A6053D"/>
    <w:rsid w:val="00A605EA"/>
    <w:rsid w:val="00A608AC"/>
    <w:rsid w:val="00A60909"/>
    <w:rsid w:val="00A60A68"/>
    <w:rsid w:val="00A60CAE"/>
    <w:rsid w:val="00A60F70"/>
    <w:rsid w:val="00A60FF5"/>
    <w:rsid w:val="00A61495"/>
    <w:rsid w:val="00A61525"/>
    <w:rsid w:val="00A616B4"/>
    <w:rsid w:val="00A617CD"/>
    <w:rsid w:val="00A6182F"/>
    <w:rsid w:val="00A619D8"/>
    <w:rsid w:val="00A61C46"/>
    <w:rsid w:val="00A61FC9"/>
    <w:rsid w:val="00A62704"/>
    <w:rsid w:val="00A6274F"/>
    <w:rsid w:val="00A6279F"/>
    <w:rsid w:val="00A628B3"/>
    <w:rsid w:val="00A62C6F"/>
    <w:rsid w:val="00A62CE5"/>
    <w:rsid w:val="00A62D37"/>
    <w:rsid w:val="00A62DC7"/>
    <w:rsid w:val="00A62E28"/>
    <w:rsid w:val="00A62E32"/>
    <w:rsid w:val="00A63102"/>
    <w:rsid w:val="00A63558"/>
    <w:rsid w:val="00A6364E"/>
    <w:rsid w:val="00A6369D"/>
    <w:rsid w:val="00A63775"/>
    <w:rsid w:val="00A6398C"/>
    <w:rsid w:val="00A63C05"/>
    <w:rsid w:val="00A63EC8"/>
    <w:rsid w:val="00A645FC"/>
    <w:rsid w:val="00A64739"/>
    <w:rsid w:val="00A647FA"/>
    <w:rsid w:val="00A6487D"/>
    <w:rsid w:val="00A648B7"/>
    <w:rsid w:val="00A64965"/>
    <w:rsid w:val="00A64A74"/>
    <w:rsid w:val="00A64BFE"/>
    <w:rsid w:val="00A64D48"/>
    <w:rsid w:val="00A64D7A"/>
    <w:rsid w:val="00A64D9A"/>
    <w:rsid w:val="00A64FA7"/>
    <w:rsid w:val="00A6506B"/>
    <w:rsid w:val="00A652A4"/>
    <w:rsid w:val="00A6535A"/>
    <w:rsid w:val="00A65478"/>
    <w:rsid w:val="00A65949"/>
    <w:rsid w:val="00A65F17"/>
    <w:rsid w:val="00A65FFC"/>
    <w:rsid w:val="00A66273"/>
    <w:rsid w:val="00A6632A"/>
    <w:rsid w:val="00A6637C"/>
    <w:rsid w:val="00A6655E"/>
    <w:rsid w:val="00A6676A"/>
    <w:rsid w:val="00A66870"/>
    <w:rsid w:val="00A66C92"/>
    <w:rsid w:val="00A66D47"/>
    <w:rsid w:val="00A66D66"/>
    <w:rsid w:val="00A66FF4"/>
    <w:rsid w:val="00A67188"/>
    <w:rsid w:val="00A6734F"/>
    <w:rsid w:val="00A6741E"/>
    <w:rsid w:val="00A67958"/>
    <w:rsid w:val="00A67B01"/>
    <w:rsid w:val="00A67B12"/>
    <w:rsid w:val="00A67CF8"/>
    <w:rsid w:val="00A703F6"/>
    <w:rsid w:val="00A70446"/>
    <w:rsid w:val="00A707E1"/>
    <w:rsid w:val="00A70AE7"/>
    <w:rsid w:val="00A70B21"/>
    <w:rsid w:val="00A70E14"/>
    <w:rsid w:val="00A712BB"/>
    <w:rsid w:val="00A721A5"/>
    <w:rsid w:val="00A72289"/>
    <w:rsid w:val="00A725E0"/>
    <w:rsid w:val="00A726D6"/>
    <w:rsid w:val="00A728EE"/>
    <w:rsid w:val="00A72D19"/>
    <w:rsid w:val="00A72EE5"/>
    <w:rsid w:val="00A73064"/>
    <w:rsid w:val="00A73180"/>
    <w:rsid w:val="00A73359"/>
    <w:rsid w:val="00A7374E"/>
    <w:rsid w:val="00A739E2"/>
    <w:rsid w:val="00A73B70"/>
    <w:rsid w:val="00A73BE9"/>
    <w:rsid w:val="00A73D59"/>
    <w:rsid w:val="00A73D97"/>
    <w:rsid w:val="00A73F7E"/>
    <w:rsid w:val="00A74064"/>
    <w:rsid w:val="00A74087"/>
    <w:rsid w:val="00A74234"/>
    <w:rsid w:val="00A7432F"/>
    <w:rsid w:val="00A74472"/>
    <w:rsid w:val="00A7449F"/>
    <w:rsid w:val="00A746D8"/>
    <w:rsid w:val="00A7498A"/>
    <w:rsid w:val="00A749E4"/>
    <w:rsid w:val="00A74E66"/>
    <w:rsid w:val="00A74F94"/>
    <w:rsid w:val="00A752DC"/>
    <w:rsid w:val="00A754A9"/>
    <w:rsid w:val="00A75670"/>
    <w:rsid w:val="00A759A6"/>
    <w:rsid w:val="00A759F4"/>
    <w:rsid w:val="00A75A7C"/>
    <w:rsid w:val="00A75D0B"/>
    <w:rsid w:val="00A75E29"/>
    <w:rsid w:val="00A75E9A"/>
    <w:rsid w:val="00A76093"/>
    <w:rsid w:val="00A7629D"/>
    <w:rsid w:val="00A7644D"/>
    <w:rsid w:val="00A76572"/>
    <w:rsid w:val="00A765B6"/>
    <w:rsid w:val="00A769EC"/>
    <w:rsid w:val="00A771DE"/>
    <w:rsid w:val="00A772E7"/>
    <w:rsid w:val="00A77744"/>
    <w:rsid w:val="00A7789F"/>
    <w:rsid w:val="00A77961"/>
    <w:rsid w:val="00A77B30"/>
    <w:rsid w:val="00A77C14"/>
    <w:rsid w:val="00A77C1C"/>
    <w:rsid w:val="00A77C7D"/>
    <w:rsid w:val="00A77CCC"/>
    <w:rsid w:val="00A77FD6"/>
    <w:rsid w:val="00A80173"/>
    <w:rsid w:val="00A802E1"/>
    <w:rsid w:val="00A806B3"/>
    <w:rsid w:val="00A80887"/>
    <w:rsid w:val="00A80B61"/>
    <w:rsid w:val="00A80D1C"/>
    <w:rsid w:val="00A80D41"/>
    <w:rsid w:val="00A81310"/>
    <w:rsid w:val="00A82334"/>
    <w:rsid w:val="00A8280B"/>
    <w:rsid w:val="00A82C0F"/>
    <w:rsid w:val="00A82D3C"/>
    <w:rsid w:val="00A831F3"/>
    <w:rsid w:val="00A83811"/>
    <w:rsid w:val="00A8393B"/>
    <w:rsid w:val="00A84396"/>
    <w:rsid w:val="00A84434"/>
    <w:rsid w:val="00A84454"/>
    <w:rsid w:val="00A844BA"/>
    <w:rsid w:val="00A84718"/>
    <w:rsid w:val="00A8473B"/>
    <w:rsid w:val="00A84740"/>
    <w:rsid w:val="00A84893"/>
    <w:rsid w:val="00A84A02"/>
    <w:rsid w:val="00A84E50"/>
    <w:rsid w:val="00A8542E"/>
    <w:rsid w:val="00A85533"/>
    <w:rsid w:val="00A8559A"/>
    <w:rsid w:val="00A858BF"/>
    <w:rsid w:val="00A859ED"/>
    <w:rsid w:val="00A85A65"/>
    <w:rsid w:val="00A85DB4"/>
    <w:rsid w:val="00A85F2D"/>
    <w:rsid w:val="00A86462"/>
    <w:rsid w:val="00A866DB"/>
    <w:rsid w:val="00A86827"/>
    <w:rsid w:val="00A86CE5"/>
    <w:rsid w:val="00A86D82"/>
    <w:rsid w:val="00A86DA4"/>
    <w:rsid w:val="00A86DCB"/>
    <w:rsid w:val="00A86DFC"/>
    <w:rsid w:val="00A870E0"/>
    <w:rsid w:val="00A87234"/>
    <w:rsid w:val="00A872BF"/>
    <w:rsid w:val="00A8748B"/>
    <w:rsid w:val="00A87529"/>
    <w:rsid w:val="00A87581"/>
    <w:rsid w:val="00A87745"/>
    <w:rsid w:val="00A87A6E"/>
    <w:rsid w:val="00A87C08"/>
    <w:rsid w:val="00A87F8C"/>
    <w:rsid w:val="00A901E7"/>
    <w:rsid w:val="00A90353"/>
    <w:rsid w:val="00A90479"/>
    <w:rsid w:val="00A90531"/>
    <w:rsid w:val="00A906E6"/>
    <w:rsid w:val="00A9086B"/>
    <w:rsid w:val="00A90A74"/>
    <w:rsid w:val="00A90A9C"/>
    <w:rsid w:val="00A90B37"/>
    <w:rsid w:val="00A90BF5"/>
    <w:rsid w:val="00A90CAA"/>
    <w:rsid w:val="00A91093"/>
    <w:rsid w:val="00A91482"/>
    <w:rsid w:val="00A9187F"/>
    <w:rsid w:val="00A919BE"/>
    <w:rsid w:val="00A91C1C"/>
    <w:rsid w:val="00A91D6E"/>
    <w:rsid w:val="00A91D74"/>
    <w:rsid w:val="00A9210E"/>
    <w:rsid w:val="00A921DA"/>
    <w:rsid w:val="00A9266E"/>
    <w:rsid w:val="00A92B14"/>
    <w:rsid w:val="00A92DE1"/>
    <w:rsid w:val="00A935DA"/>
    <w:rsid w:val="00A935F6"/>
    <w:rsid w:val="00A936F1"/>
    <w:rsid w:val="00A93758"/>
    <w:rsid w:val="00A938DB"/>
    <w:rsid w:val="00A938E2"/>
    <w:rsid w:val="00A9398D"/>
    <w:rsid w:val="00A93FE6"/>
    <w:rsid w:val="00A940D5"/>
    <w:rsid w:val="00A9435E"/>
    <w:rsid w:val="00A9449C"/>
    <w:rsid w:val="00A94671"/>
    <w:rsid w:val="00A947BD"/>
    <w:rsid w:val="00A947D3"/>
    <w:rsid w:val="00A94854"/>
    <w:rsid w:val="00A94A19"/>
    <w:rsid w:val="00A94D6C"/>
    <w:rsid w:val="00A9538E"/>
    <w:rsid w:val="00A955D3"/>
    <w:rsid w:val="00A95632"/>
    <w:rsid w:val="00A95A66"/>
    <w:rsid w:val="00A95B46"/>
    <w:rsid w:val="00A95BED"/>
    <w:rsid w:val="00A95C2A"/>
    <w:rsid w:val="00A95D1C"/>
    <w:rsid w:val="00A96147"/>
    <w:rsid w:val="00A96682"/>
    <w:rsid w:val="00A96BC0"/>
    <w:rsid w:val="00A96D57"/>
    <w:rsid w:val="00A96D8A"/>
    <w:rsid w:val="00A96F2E"/>
    <w:rsid w:val="00A970E3"/>
    <w:rsid w:val="00A975A7"/>
    <w:rsid w:val="00A979DE"/>
    <w:rsid w:val="00A97B97"/>
    <w:rsid w:val="00AA01D7"/>
    <w:rsid w:val="00AA020C"/>
    <w:rsid w:val="00AA02FD"/>
    <w:rsid w:val="00AA057B"/>
    <w:rsid w:val="00AA070E"/>
    <w:rsid w:val="00AA07A3"/>
    <w:rsid w:val="00AA08EC"/>
    <w:rsid w:val="00AA1021"/>
    <w:rsid w:val="00AA1028"/>
    <w:rsid w:val="00AA10A5"/>
    <w:rsid w:val="00AA1127"/>
    <w:rsid w:val="00AA17C6"/>
    <w:rsid w:val="00AA19E7"/>
    <w:rsid w:val="00AA1CF9"/>
    <w:rsid w:val="00AA1DE9"/>
    <w:rsid w:val="00AA1F72"/>
    <w:rsid w:val="00AA2228"/>
    <w:rsid w:val="00AA229D"/>
    <w:rsid w:val="00AA245F"/>
    <w:rsid w:val="00AA24EA"/>
    <w:rsid w:val="00AA24FB"/>
    <w:rsid w:val="00AA2546"/>
    <w:rsid w:val="00AA28C7"/>
    <w:rsid w:val="00AA29C3"/>
    <w:rsid w:val="00AA2A66"/>
    <w:rsid w:val="00AA2C56"/>
    <w:rsid w:val="00AA2CD6"/>
    <w:rsid w:val="00AA2E26"/>
    <w:rsid w:val="00AA2E86"/>
    <w:rsid w:val="00AA2EA2"/>
    <w:rsid w:val="00AA3052"/>
    <w:rsid w:val="00AA307F"/>
    <w:rsid w:val="00AA31CE"/>
    <w:rsid w:val="00AA3570"/>
    <w:rsid w:val="00AA36CC"/>
    <w:rsid w:val="00AA3E26"/>
    <w:rsid w:val="00AA3E5B"/>
    <w:rsid w:val="00AA3EFE"/>
    <w:rsid w:val="00AA401B"/>
    <w:rsid w:val="00AA406F"/>
    <w:rsid w:val="00AA4156"/>
    <w:rsid w:val="00AA47A5"/>
    <w:rsid w:val="00AA486C"/>
    <w:rsid w:val="00AA4E94"/>
    <w:rsid w:val="00AA4F46"/>
    <w:rsid w:val="00AA505C"/>
    <w:rsid w:val="00AA511C"/>
    <w:rsid w:val="00AA5513"/>
    <w:rsid w:val="00AA556D"/>
    <w:rsid w:val="00AA5B19"/>
    <w:rsid w:val="00AA5C46"/>
    <w:rsid w:val="00AA5F2B"/>
    <w:rsid w:val="00AA6210"/>
    <w:rsid w:val="00AA6569"/>
    <w:rsid w:val="00AA6686"/>
    <w:rsid w:val="00AA68F4"/>
    <w:rsid w:val="00AA68FC"/>
    <w:rsid w:val="00AA6C16"/>
    <w:rsid w:val="00AA6C7C"/>
    <w:rsid w:val="00AA6D5F"/>
    <w:rsid w:val="00AA741E"/>
    <w:rsid w:val="00AA75B5"/>
    <w:rsid w:val="00AA78B9"/>
    <w:rsid w:val="00AA7A3F"/>
    <w:rsid w:val="00AA7CB4"/>
    <w:rsid w:val="00AB010E"/>
    <w:rsid w:val="00AB029D"/>
    <w:rsid w:val="00AB05C1"/>
    <w:rsid w:val="00AB0612"/>
    <w:rsid w:val="00AB062C"/>
    <w:rsid w:val="00AB064A"/>
    <w:rsid w:val="00AB06A4"/>
    <w:rsid w:val="00AB07A7"/>
    <w:rsid w:val="00AB08D2"/>
    <w:rsid w:val="00AB092E"/>
    <w:rsid w:val="00AB0A7D"/>
    <w:rsid w:val="00AB0BC2"/>
    <w:rsid w:val="00AB0DDB"/>
    <w:rsid w:val="00AB15C7"/>
    <w:rsid w:val="00AB177D"/>
    <w:rsid w:val="00AB187A"/>
    <w:rsid w:val="00AB1982"/>
    <w:rsid w:val="00AB1AD5"/>
    <w:rsid w:val="00AB1B39"/>
    <w:rsid w:val="00AB1E35"/>
    <w:rsid w:val="00AB23CD"/>
    <w:rsid w:val="00AB29FD"/>
    <w:rsid w:val="00AB2A9F"/>
    <w:rsid w:val="00AB2B61"/>
    <w:rsid w:val="00AB2BD5"/>
    <w:rsid w:val="00AB2E1B"/>
    <w:rsid w:val="00AB3099"/>
    <w:rsid w:val="00AB3281"/>
    <w:rsid w:val="00AB342E"/>
    <w:rsid w:val="00AB37B0"/>
    <w:rsid w:val="00AB3B73"/>
    <w:rsid w:val="00AB3BDE"/>
    <w:rsid w:val="00AB3D50"/>
    <w:rsid w:val="00AB4B8D"/>
    <w:rsid w:val="00AB4BA5"/>
    <w:rsid w:val="00AB4BCD"/>
    <w:rsid w:val="00AB4BE2"/>
    <w:rsid w:val="00AB4F60"/>
    <w:rsid w:val="00AB5533"/>
    <w:rsid w:val="00AB5B97"/>
    <w:rsid w:val="00AB5BE4"/>
    <w:rsid w:val="00AB5E19"/>
    <w:rsid w:val="00AB6371"/>
    <w:rsid w:val="00AB6670"/>
    <w:rsid w:val="00AB6D30"/>
    <w:rsid w:val="00AB6F33"/>
    <w:rsid w:val="00AB6FAE"/>
    <w:rsid w:val="00AB714E"/>
    <w:rsid w:val="00AB725F"/>
    <w:rsid w:val="00AB730B"/>
    <w:rsid w:val="00AB744C"/>
    <w:rsid w:val="00AB74CE"/>
    <w:rsid w:val="00AB77B2"/>
    <w:rsid w:val="00AB7C78"/>
    <w:rsid w:val="00AB7E9E"/>
    <w:rsid w:val="00AC015E"/>
    <w:rsid w:val="00AC09A6"/>
    <w:rsid w:val="00AC0C39"/>
    <w:rsid w:val="00AC0EDC"/>
    <w:rsid w:val="00AC123B"/>
    <w:rsid w:val="00AC170E"/>
    <w:rsid w:val="00AC19DB"/>
    <w:rsid w:val="00AC1C40"/>
    <w:rsid w:val="00AC1CAB"/>
    <w:rsid w:val="00AC23F3"/>
    <w:rsid w:val="00AC26F6"/>
    <w:rsid w:val="00AC27FF"/>
    <w:rsid w:val="00AC2A74"/>
    <w:rsid w:val="00AC2C59"/>
    <w:rsid w:val="00AC3053"/>
    <w:rsid w:val="00AC305B"/>
    <w:rsid w:val="00AC3168"/>
    <w:rsid w:val="00AC31D4"/>
    <w:rsid w:val="00AC3398"/>
    <w:rsid w:val="00AC339F"/>
    <w:rsid w:val="00AC36A6"/>
    <w:rsid w:val="00AC3955"/>
    <w:rsid w:val="00AC3BC3"/>
    <w:rsid w:val="00AC3E9F"/>
    <w:rsid w:val="00AC3F5E"/>
    <w:rsid w:val="00AC4063"/>
    <w:rsid w:val="00AC4416"/>
    <w:rsid w:val="00AC4451"/>
    <w:rsid w:val="00AC469D"/>
    <w:rsid w:val="00AC4AC5"/>
    <w:rsid w:val="00AC4D5B"/>
    <w:rsid w:val="00AC4E46"/>
    <w:rsid w:val="00AC4F25"/>
    <w:rsid w:val="00AC54F1"/>
    <w:rsid w:val="00AC5854"/>
    <w:rsid w:val="00AC588A"/>
    <w:rsid w:val="00AC5962"/>
    <w:rsid w:val="00AC5F4C"/>
    <w:rsid w:val="00AC61C2"/>
    <w:rsid w:val="00AC6445"/>
    <w:rsid w:val="00AC663E"/>
    <w:rsid w:val="00AC696C"/>
    <w:rsid w:val="00AC6EB7"/>
    <w:rsid w:val="00AC6EB9"/>
    <w:rsid w:val="00AC70BC"/>
    <w:rsid w:val="00AC7277"/>
    <w:rsid w:val="00AC7896"/>
    <w:rsid w:val="00AC7AA0"/>
    <w:rsid w:val="00AD00D8"/>
    <w:rsid w:val="00AD031C"/>
    <w:rsid w:val="00AD0A6D"/>
    <w:rsid w:val="00AD0C69"/>
    <w:rsid w:val="00AD10CB"/>
    <w:rsid w:val="00AD121E"/>
    <w:rsid w:val="00AD132D"/>
    <w:rsid w:val="00AD16EB"/>
    <w:rsid w:val="00AD1A27"/>
    <w:rsid w:val="00AD1DC5"/>
    <w:rsid w:val="00AD1E96"/>
    <w:rsid w:val="00AD1EC3"/>
    <w:rsid w:val="00AD245B"/>
    <w:rsid w:val="00AD24D7"/>
    <w:rsid w:val="00AD2725"/>
    <w:rsid w:val="00AD28AC"/>
    <w:rsid w:val="00AD28EC"/>
    <w:rsid w:val="00AD2A13"/>
    <w:rsid w:val="00AD2D7B"/>
    <w:rsid w:val="00AD2DF4"/>
    <w:rsid w:val="00AD2E13"/>
    <w:rsid w:val="00AD2E30"/>
    <w:rsid w:val="00AD2E7D"/>
    <w:rsid w:val="00AD2EAD"/>
    <w:rsid w:val="00AD3086"/>
    <w:rsid w:val="00AD33DA"/>
    <w:rsid w:val="00AD35C4"/>
    <w:rsid w:val="00AD3614"/>
    <w:rsid w:val="00AD3BD1"/>
    <w:rsid w:val="00AD3F14"/>
    <w:rsid w:val="00AD4172"/>
    <w:rsid w:val="00AD4213"/>
    <w:rsid w:val="00AD44BF"/>
    <w:rsid w:val="00AD4553"/>
    <w:rsid w:val="00AD48F2"/>
    <w:rsid w:val="00AD4921"/>
    <w:rsid w:val="00AD4D0F"/>
    <w:rsid w:val="00AD4D80"/>
    <w:rsid w:val="00AD4DB7"/>
    <w:rsid w:val="00AD51BC"/>
    <w:rsid w:val="00AD54BD"/>
    <w:rsid w:val="00AD55BD"/>
    <w:rsid w:val="00AD57DD"/>
    <w:rsid w:val="00AD5A2C"/>
    <w:rsid w:val="00AD5AF2"/>
    <w:rsid w:val="00AD5BB6"/>
    <w:rsid w:val="00AD5CE4"/>
    <w:rsid w:val="00AD62EF"/>
    <w:rsid w:val="00AD6A76"/>
    <w:rsid w:val="00AD6C21"/>
    <w:rsid w:val="00AD6C44"/>
    <w:rsid w:val="00AD6F66"/>
    <w:rsid w:val="00AD7462"/>
    <w:rsid w:val="00AD7467"/>
    <w:rsid w:val="00AD747D"/>
    <w:rsid w:val="00AD79FF"/>
    <w:rsid w:val="00AD7C7C"/>
    <w:rsid w:val="00AD7C96"/>
    <w:rsid w:val="00AD7DE1"/>
    <w:rsid w:val="00AD7F46"/>
    <w:rsid w:val="00AE0321"/>
    <w:rsid w:val="00AE03E2"/>
    <w:rsid w:val="00AE0466"/>
    <w:rsid w:val="00AE06C1"/>
    <w:rsid w:val="00AE09CA"/>
    <w:rsid w:val="00AE0B12"/>
    <w:rsid w:val="00AE0CBF"/>
    <w:rsid w:val="00AE0FAB"/>
    <w:rsid w:val="00AE12AC"/>
    <w:rsid w:val="00AE1597"/>
    <w:rsid w:val="00AE15B9"/>
    <w:rsid w:val="00AE1676"/>
    <w:rsid w:val="00AE17B9"/>
    <w:rsid w:val="00AE1A75"/>
    <w:rsid w:val="00AE1BA0"/>
    <w:rsid w:val="00AE2135"/>
    <w:rsid w:val="00AE2472"/>
    <w:rsid w:val="00AE26E1"/>
    <w:rsid w:val="00AE2929"/>
    <w:rsid w:val="00AE2B85"/>
    <w:rsid w:val="00AE2BCD"/>
    <w:rsid w:val="00AE2D05"/>
    <w:rsid w:val="00AE2DB3"/>
    <w:rsid w:val="00AE320D"/>
    <w:rsid w:val="00AE3298"/>
    <w:rsid w:val="00AE33E7"/>
    <w:rsid w:val="00AE3593"/>
    <w:rsid w:val="00AE3602"/>
    <w:rsid w:val="00AE36F0"/>
    <w:rsid w:val="00AE40C5"/>
    <w:rsid w:val="00AE48FA"/>
    <w:rsid w:val="00AE4C14"/>
    <w:rsid w:val="00AE4FBF"/>
    <w:rsid w:val="00AE510C"/>
    <w:rsid w:val="00AE54B7"/>
    <w:rsid w:val="00AE5681"/>
    <w:rsid w:val="00AE56DD"/>
    <w:rsid w:val="00AE57DF"/>
    <w:rsid w:val="00AE5974"/>
    <w:rsid w:val="00AE59F4"/>
    <w:rsid w:val="00AE6012"/>
    <w:rsid w:val="00AE6074"/>
    <w:rsid w:val="00AE60C2"/>
    <w:rsid w:val="00AE642E"/>
    <w:rsid w:val="00AE67D5"/>
    <w:rsid w:val="00AE6A6C"/>
    <w:rsid w:val="00AE6A7C"/>
    <w:rsid w:val="00AE6C4D"/>
    <w:rsid w:val="00AE7059"/>
    <w:rsid w:val="00AE772D"/>
    <w:rsid w:val="00AE7731"/>
    <w:rsid w:val="00AE7BD1"/>
    <w:rsid w:val="00AE7F35"/>
    <w:rsid w:val="00AF0000"/>
    <w:rsid w:val="00AF0282"/>
    <w:rsid w:val="00AF0343"/>
    <w:rsid w:val="00AF07B6"/>
    <w:rsid w:val="00AF08FE"/>
    <w:rsid w:val="00AF091C"/>
    <w:rsid w:val="00AF0ED6"/>
    <w:rsid w:val="00AF107F"/>
    <w:rsid w:val="00AF109B"/>
    <w:rsid w:val="00AF11AC"/>
    <w:rsid w:val="00AF127B"/>
    <w:rsid w:val="00AF14CD"/>
    <w:rsid w:val="00AF1BBE"/>
    <w:rsid w:val="00AF1EAD"/>
    <w:rsid w:val="00AF1EF1"/>
    <w:rsid w:val="00AF205C"/>
    <w:rsid w:val="00AF2101"/>
    <w:rsid w:val="00AF2408"/>
    <w:rsid w:val="00AF277B"/>
    <w:rsid w:val="00AF278C"/>
    <w:rsid w:val="00AF2972"/>
    <w:rsid w:val="00AF2AF1"/>
    <w:rsid w:val="00AF2C35"/>
    <w:rsid w:val="00AF31AE"/>
    <w:rsid w:val="00AF321B"/>
    <w:rsid w:val="00AF330E"/>
    <w:rsid w:val="00AF3340"/>
    <w:rsid w:val="00AF340E"/>
    <w:rsid w:val="00AF358E"/>
    <w:rsid w:val="00AF3646"/>
    <w:rsid w:val="00AF36BA"/>
    <w:rsid w:val="00AF37B1"/>
    <w:rsid w:val="00AF389B"/>
    <w:rsid w:val="00AF39B2"/>
    <w:rsid w:val="00AF3ABB"/>
    <w:rsid w:val="00AF3F54"/>
    <w:rsid w:val="00AF416D"/>
    <w:rsid w:val="00AF42C6"/>
    <w:rsid w:val="00AF42F7"/>
    <w:rsid w:val="00AF44FC"/>
    <w:rsid w:val="00AF45DA"/>
    <w:rsid w:val="00AF45E5"/>
    <w:rsid w:val="00AF4606"/>
    <w:rsid w:val="00AF4882"/>
    <w:rsid w:val="00AF4B64"/>
    <w:rsid w:val="00AF546C"/>
    <w:rsid w:val="00AF5985"/>
    <w:rsid w:val="00AF5AB6"/>
    <w:rsid w:val="00AF5ABE"/>
    <w:rsid w:val="00AF5C44"/>
    <w:rsid w:val="00AF5E38"/>
    <w:rsid w:val="00AF5FD9"/>
    <w:rsid w:val="00AF63A0"/>
    <w:rsid w:val="00AF647E"/>
    <w:rsid w:val="00AF654D"/>
    <w:rsid w:val="00AF65C7"/>
    <w:rsid w:val="00AF65E9"/>
    <w:rsid w:val="00AF6784"/>
    <w:rsid w:val="00AF6844"/>
    <w:rsid w:val="00AF6894"/>
    <w:rsid w:val="00AF68E3"/>
    <w:rsid w:val="00AF690C"/>
    <w:rsid w:val="00AF6A9F"/>
    <w:rsid w:val="00AF6FCF"/>
    <w:rsid w:val="00AF71BD"/>
    <w:rsid w:val="00AF740E"/>
    <w:rsid w:val="00AF74DC"/>
    <w:rsid w:val="00AF75D3"/>
    <w:rsid w:val="00AF7854"/>
    <w:rsid w:val="00AF7A28"/>
    <w:rsid w:val="00AF7A77"/>
    <w:rsid w:val="00AF7CBA"/>
    <w:rsid w:val="00AF7D1C"/>
    <w:rsid w:val="00AF7E5B"/>
    <w:rsid w:val="00B0010F"/>
    <w:rsid w:val="00B0034F"/>
    <w:rsid w:val="00B010BE"/>
    <w:rsid w:val="00B014EF"/>
    <w:rsid w:val="00B016D7"/>
    <w:rsid w:val="00B01775"/>
    <w:rsid w:val="00B01D1F"/>
    <w:rsid w:val="00B01F95"/>
    <w:rsid w:val="00B027BA"/>
    <w:rsid w:val="00B028BD"/>
    <w:rsid w:val="00B02A31"/>
    <w:rsid w:val="00B02AD2"/>
    <w:rsid w:val="00B03126"/>
    <w:rsid w:val="00B03371"/>
    <w:rsid w:val="00B033C9"/>
    <w:rsid w:val="00B0367F"/>
    <w:rsid w:val="00B03685"/>
    <w:rsid w:val="00B03688"/>
    <w:rsid w:val="00B036A8"/>
    <w:rsid w:val="00B03788"/>
    <w:rsid w:val="00B0384D"/>
    <w:rsid w:val="00B038D8"/>
    <w:rsid w:val="00B03ACE"/>
    <w:rsid w:val="00B03CA6"/>
    <w:rsid w:val="00B03E7B"/>
    <w:rsid w:val="00B040C9"/>
    <w:rsid w:val="00B0437B"/>
    <w:rsid w:val="00B04386"/>
    <w:rsid w:val="00B04827"/>
    <w:rsid w:val="00B04A3C"/>
    <w:rsid w:val="00B04F9B"/>
    <w:rsid w:val="00B05023"/>
    <w:rsid w:val="00B0570E"/>
    <w:rsid w:val="00B05BE3"/>
    <w:rsid w:val="00B05F17"/>
    <w:rsid w:val="00B06D57"/>
    <w:rsid w:val="00B06E17"/>
    <w:rsid w:val="00B06EF8"/>
    <w:rsid w:val="00B06FBF"/>
    <w:rsid w:val="00B07609"/>
    <w:rsid w:val="00B076BC"/>
    <w:rsid w:val="00B1005A"/>
    <w:rsid w:val="00B10622"/>
    <w:rsid w:val="00B108FD"/>
    <w:rsid w:val="00B109B2"/>
    <w:rsid w:val="00B10AB7"/>
    <w:rsid w:val="00B10B5D"/>
    <w:rsid w:val="00B1106D"/>
    <w:rsid w:val="00B110D5"/>
    <w:rsid w:val="00B112B0"/>
    <w:rsid w:val="00B115D5"/>
    <w:rsid w:val="00B11720"/>
    <w:rsid w:val="00B118D7"/>
    <w:rsid w:val="00B11A31"/>
    <w:rsid w:val="00B11CB9"/>
    <w:rsid w:val="00B11E8D"/>
    <w:rsid w:val="00B1229D"/>
    <w:rsid w:val="00B1232F"/>
    <w:rsid w:val="00B12390"/>
    <w:rsid w:val="00B1252B"/>
    <w:rsid w:val="00B125C4"/>
    <w:rsid w:val="00B12701"/>
    <w:rsid w:val="00B1273E"/>
    <w:rsid w:val="00B1283F"/>
    <w:rsid w:val="00B136D0"/>
    <w:rsid w:val="00B1383D"/>
    <w:rsid w:val="00B13B3D"/>
    <w:rsid w:val="00B1403A"/>
    <w:rsid w:val="00B141A9"/>
    <w:rsid w:val="00B141AD"/>
    <w:rsid w:val="00B14313"/>
    <w:rsid w:val="00B1453C"/>
    <w:rsid w:val="00B145B4"/>
    <w:rsid w:val="00B14751"/>
    <w:rsid w:val="00B1481C"/>
    <w:rsid w:val="00B14AF7"/>
    <w:rsid w:val="00B14D00"/>
    <w:rsid w:val="00B14F51"/>
    <w:rsid w:val="00B15001"/>
    <w:rsid w:val="00B1505D"/>
    <w:rsid w:val="00B153E1"/>
    <w:rsid w:val="00B15514"/>
    <w:rsid w:val="00B155C6"/>
    <w:rsid w:val="00B15A40"/>
    <w:rsid w:val="00B15CDE"/>
    <w:rsid w:val="00B15E23"/>
    <w:rsid w:val="00B162CA"/>
    <w:rsid w:val="00B1688A"/>
    <w:rsid w:val="00B16A5B"/>
    <w:rsid w:val="00B16B9B"/>
    <w:rsid w:val="00B17172"/>
    <w:rsid w:val="00B17203"/>
    <w:rsid w:val="00B1721C"/>
    <w:rsid w:val="00B1727B"/>
    <w:rsid w:val="00B17731"/>
    <w:rsid w:val="00B17B0F"/>
    <w:rsid w:val="00B17CC7"/>
    <w:rsid w:val="00B17DA1"/>
    <w:rsid w:val="00B17DDD"/>
    <w:rsid w:val="00B17EF2"/>
    <w:rsid w:val="00B17FC9"/>
    <w:rsid w:val="00B20178"/>
    <w:rsid w:val="00B2042B"/>
    <w:rsid w:val="00B206F8"/>
    <w:rsid w:val="00B20924"/>
    <w:rsid w:val="00B209D1"/>
    <w:rsid w:val="00B20CE1"/>
    <w:rsid w:val="00B20D1E"/>
    <w:rsid w:val="00B21193"/>
    <w:rsid w:val="00B2130F"/>
    <w:rsid w:val="00B21490"/>
    <w:rsid w:val="00B2187D"/>
    <w:rsid w:val="00B21944"/>
    <w:rsid w:val="00B21BE5"/>
    <w:rsid w:val="00B2202E"/>
    <w:rsid w:val="00B221E5"/>
    <w:rsid w:val="00B22202"/>
    <w:rsid w:val="00B22521"/>
    <w:rsid w:val="00B22595"/>
    <w:rsid w:val="00B2289B"/>
    <w:rsid w:val="00B229B1"/>
    <w:rsid w:val="00B22B25"/>
    <w:rsid w:val="00B22C88"/>
    <w:rsid w:val="00B22EC3"/>
    <w:rsid w:val="00B22FC6"/>
    <w:rsid w:val="00B231C3"/>
    <w:rsid w:val="00B2367F"/>
    <w:rsid w:val="00B2375F"/>
    <w:rsid w:val="00B23768"/>
    <w:rsid w:val="00B2387C"/>
    <w:rsid w:val="00B23A13"/>
    <w:rsid w:val="00B23CDC"/>
    <w:rsid w:val="00B23F14"/>
    <w:rsid w:val="00B241A3"/>
    <w:rsid w:val="00B241DB"/>
    <w:rsid w:val="00B24221"/>
    <w:rsid w:val="00B24339"/>
    <w:rsid w:val="00B244DD"/>
    <w:rsid w:val="00B24C1F"/>
    <w:rsid w:val="00B25009"/>
    <w:rsid w:val="00B2521C"/>
    <w:rsid w:val="00B2528E"/>
    <w:rsid w:val="00B25488"/>
    <w:rsid w:val="00B2567F"/>
    <w:rsid w:val="00B257AB"/>
    <w:rsid w:val="00B25961"/>
    <w:rsid w:val="00B25A0B"/>
    <w:rsid w:val="00B26C7B"/>
    <w:rsid w:val="00B26F64"/>
    <w:rsid w:val="00B271AD"/>
    <w:rsid w:val="00B27225"/>
    <w:rsid w:val="00B2754C"/>
    <w:rsid w:val="00B27781"/>
    <w:rsid w:val="00B27A49"/>
    <w:rsid w:val="00B27A82"/>
    <w:rsid w:val="00B27BCE"/>
    <w:rsid w:val="00B27E0C"/>
    <w:rsid w:val="00B27FA9"/>
    <w:rsid w:val="00B3010B"/>
    <w:rsid w:val="00B30622"/>
    <w:rsid w:val="00B308F9"/>
    <w:rsid w:val="00B3129A"/>
    <w:rsid w:val="00B3160D"/>
    <w:rsid w:val="00B316A3"/>
    <w:rsid w:val="00B31AC7"/>
    <w:rsid w:val="00B31B8C"/>
    <w:rsid w:val="00B32819"/>
    <w:rsid w:val="00B32C15"/>
    <w:rsid w:val="00B32F5E"/>
    <w:rsid w:val="00B3300A"/>
    <w:rsid w:val="00B333C2"/>
    <w:rsid w:val="00B334DF"/>
    <w:rsid w:val="00B33784"/>
    <w:rsid w:val="00B33840"/>
    <w:rsid w:val="00B3386A"/>
    <w:rsid w:val="00B33872"/>
    <w:rsid w:val="00B338B7"/>
    <w:rsid w:val="00B33A25"/>
    <w:rsid w:val="00B33A2F"/>
    <w:rsid w:val="00B33C91"/>
    <w:rsid w:val="00B33F6E"/>
    <w:rsid w:val="00B342FF"/>
    <w:rsid w:val="00B34A56"/>
    <w:rsid w:val="00B34BA7"/>
    <w:rsid w:val="00B34D25"/>
    <w:rsid w:val="00B34E70"/>
    <w:rsid w:val="00B35094"/>
    <w:rsid w:val="00B3514B"/>
    <w:rsid w:val="00B353F2"/>
    <w:rsid w:val="00B358AD"/>
    <w:rsid w:val="00B35977"/>
    <w:rsid w:val="00B35BCF"/>
    <w:rsid w:val="00B35D2E"/>
    <w:rsid w:val="00B360B8"/>
    <w:rsid w:val="00B3633D"/>
    <w:rsid w:val="00B3638B"/>
    <w:rsid w:val="00B364B3"/>
    <w:rsid w:val="00B36509"/>
    <w:rsid w:val="00B3687E"/>
    <w:rsid w:val="00B369E1"/>
    <w:rsid w:val="00B36B0D"/>
    <w:rsid w:val="00B36B66"/>
    <w:rsid w:val="00B36C20"/>
    <w:rsid w:val="00B373C2"/>
    <w:rsid w:val="00B37409"/>
    <w:rsid w:val="00B3740C"/>
    <w:rsid w:val="00B378B9"/>
    <w:rsid w:val="00B379AC"/>
    <w:rsid w:val="00B40391"/>
    <w:rsid w:val="00B403ED"/>
    <w:rsid w:val="00B404A0"/>
    <w:rsid w:val="00B405F7"/>
    <w:rsid w:val="00B40616"/>
    <w:rsid w:val="00B40627"/>
    <w:rsid w:val="00B40835"/>
    <w:rsid w:val="00B40903"/>
    <w:rsid w:val="00B409F3"/>
    <w:rsid w:val="00B40C88"/>
    <w:rsid w:val="00B40CB9"/>
    <w:rsid w:val="00B40DDC"/>
    <w:rsid w:val="00B40F4E"/>
    <w:rsid w:val="00B413ED"/>
    <w:rsid w:val="00B4151F"/>
    <w:rsid w:val="00B4153C"/>
    <w:rsid w:val="00B41B38"/>
    <w:rsid w:val="00B41C11"/>
    <w:rsid w:val="00B41D0D"/>
    <w:rsid w:val="00B41FE1"/>
    <w:rsid w:val="00B424CF"/>
    <w:rsid w:val="00B429E9"/>
    <w:rsid w:val="00B42BB8"/>
    <w:rsid w:val="00B42D93"/>
    <w:rsid w:val="00B4325A"/>
    <w:rsid w:val="00B43290"/>
    <w:rsid w:val="00B435E7"/>
    <w:rsid w:val="00B435EA"/>
    <w:rsid w:val="00B44382"/>
    <w:rsid w:val="00B44517"/>
    <w:rsid w:val="00B44604"/>
    <w:rsid w:val="00B446ED"/>
    <w:rsid w:val="00B4479A"/>
    <w:rsid w:val="00B447D5"/>
    <w:rsid w:val="00B44EE6"/>
    <w:rsid w:val="00B44F22"/>
    <w:rsid w:val="00B45052"/>
    <w:rsid w:val="00B45238"/>
    <w:rsid w:val="00B45307"/>
    <w:rsid w:val="00B4536D"/>
    <w:rsid w:val="00B45387"/>
    <w:rsid w:val="00B455F5"/>
    <w:rsid w:val="00B458CD"/>
    <w:rsid w:val="00B45F27"/>
    <w:rsid w:val="00B463B9"/>
    <w:rsid w:val="00B465AF"/>
    <w:rsid w:val="00B467B6"/>
    <w:rsid w:val="00B46832"/>
    <w:rsid w:val="00B4684F"/>
    <w:rsid w:val="00B46921"/>
    <w:rsid w:val="00B46BA5"/>
    <w:rsid w:val="00B46CD8"/>
    <w:rsid w:val="00B46DAA"/>
    <w:rsid w:val="00B47010"/>
    <w:rsid w:val="00B471DB"/>
    <w:rsid w:val="00B47268"/>
    <w:rsid w:val="00B4726B"/>
    <w:rsid w:val="00B472E0"/>
    <w:rsid w:val="00B475EA"/>
    <w:rsid w:val="00B47919"/>
    <w:rsid w:val="00B479DD"/>
    <w:rsid w:val="00B47A94"/>
    <w:rsid w:val="00B503FF"/>
    <w:rsid w:val="00B50506"/>
    <w:rsid w:val="00B50511"/>
    <w:rsid w:val="00B50A23"/>
    <w:rsid w:val="00B50C5E"/>
    <w:rsid w:val="00B50D90"/>
    <w:rsid w:val="00B50E07"/>
    <w:rsid w:val="00B51448"/>
    <w:rsid w:val="00B51608"/>
    <w:rsid w:val="00B516B8"/>
    <w:rsid w:val="00B51AD8"/>
    <w:rsid w:val="00B51BDF"/>
    <w:rsid w:val="00B51D19"/>
    <w:rsid w:val="00B51E82"/>
    <w:rsid w:val="00B52302"/>
    <w:rsid w:val="00B525FE"/>
    <w:rsid w:val="00B52B74"/>
    <w:rsid w:val="00B52D1E"/>
    <w:rsid w:val="00B533A3"/>
    <w:rsid w:val="00B53585"/>
    <w:rsid w:val="00B535F7"/>
    <w:rsid w:val="00B53907"/>
    <w:rsid w:val="00B53A16"/>
    <w:rsid w:val="00B53C7F"/>
    <w:rsid w:val="00B53CF2"/>
    <w:rsid w:val="00B53FDA"/>
    <w:rsid w:val="00B53FEA"/>
    <w:rsid w:val="00B54149"/>
    <w:rsid w:val="00B54290"/>
    <w:rsid w:val="00B546F5"/>
    <w:rsid w:val="00B548FE"/>
    <w:rsid w:val="00B54BEF"/>
    <w:rsid w:val="00B54D63"/>
    <w:rsid w:val="00B54ECB"/>
    <w:rsid w:val="00B54ECD"/>
    <w:rsid w:val="00B553E0"/>
    <w:rsid w:val="00B55792"/>
    <w:rsid w:val="00B55870"/>
    <w:rsid w:val="00B558E3"/>
    <w:rsid w:val="00B55987"/>
    <w:rsid w:val="00B55A7F"/>
    <w:rsid w:val="00B55D6B"/>
    <w:rsid w:val="00B56447"/>
    <w:rsid w:val="00B56AF9"/>
    <w:rsid w:val="00B56E64"/>
    <w:rsid w:val="00B56EFF"/>
    <w:rsid w:val="00B57045"/>
    <w:rsid w:val="00B57239"/>
    <w:rsid w:val="00B574A2"/>
    <w:rsid w:val="00B57A98"/>
    <w:rsid w:val="00B57B13"/>
    <w:rsid w:val="00B57E0E"/>
    <w:rsid w:val="00B57EFE"/>
    <w:rsid w:val="00B57FF9"/>
    <w:rsid w:val="00B6014E"/>
    <w:rsid w:val="00B603AA"/>
    <w:rsid w:val="00B60532"/>
    <w:rsid w:val="00B6064E"/>
    <w:rsid w:val="00B60756"/>
    <w:rsid w:val="00B60A17"/>
    <w:rsid w:val="00B60B6A"/>
    <w:rsid w:val="00B610BD"/>
    <w:rsid w:val="00B611EF"/>
    <w:rsid w:val="00B614CD"/>
    <w:rsid w:val="00B618B6"/>
    <w:rsid w:val="00B61997"/>
    <w:rsid w:val="00B61A05"/>
    <w:rsid w:val="00B61EB1"/>
    <w:rsid w:val="00B61EB7"/>
    <w:rsid w:val="00B61FFF"/>
    <w:rsid w:val="00B62003"/>
    <w:rsid w:val="00B6201F"/>
    <w:rsid w:val="00B6237A"/>
    <w:rsid w:val="00B628DD"/>
    <w:rsid w:val="00B628F7"/>
    <w:rsid w:val="00B62A03"/>
    <w:rsid w:val="00B62AEB"/>
    <w:rsid w:val="00B62D29"/>
    <w:rsid w:val="00B62EB1"/>
    <w:rsid w:val="00B62EBF"/>
    <w:rsid w:val="00B6351A"/>
    <w:rsid w:val="00B639DB"/>
    <w:rsid w:val="00B63AFA"/>
    <w:rsid w:val="00B63D58"/>
    <w:rsid w:val="00B63F52"/>
    <w:rsid w:val="00B6403C"/>
    <w:rsid w:val="00B64144"/>
    <w:rsid w:val="00B6415B"/>
    <w:rsid w:val="00B6416F"/>
    <w:rsid w:val="00B6431A"/>
    <w:rsid w:val="00B64427"/>
    <w:rsid w:val="00B64667"/>
    <w:rsid w:val="00B64A21"/>
    <w:rsid w:val="00B64C9D"/>
    <w:rsid w:val="00B64D2C"/>
    <w:rsid w:val="00B65103"/>
    <w:rsid w:val="00B652DA"/>
    <w:rsid w:val="00B65459"/>
    <w:rsid w:val="00B65478"/>
    <w:rsid w:val="00B657DF"/>
    <w:rsid w:val="00B65826"/>
    <w:rsid w:val="00B65972"/>
    <w:rsid w:val="00B659C3"/>
    <w:rsid w:val="00B65BAB"/>
    <w:rsid w:val="00B65CA0"/>
    <w:rsid w:val="00B65FA2"/>
    <w:rsid w:val="00B6617B"/>
    <w:rsid w:val="00B662F2"/>
    <w:rsid w:val="00B66334"/>
    <w:rsid w:val="00B664A9"/>
    <w:rsid w:val="00B66563"/>
    <w:rsid w:val="00B66666"/>
    <w:rsid w:val="00B66826"/>
    <w:rsid w:val="00B6697F"/>
    <w:rsid w:val="00B66A8A"/>
    <w:rsid w:val="00B66BB1"/>
    <w:rsid w:val="00B66E9C"/>
    <w:rsid w:val="00B66F34"/>
    <w:rsid w:val="00B6736D"/>
    <w:rsid w:val="00B673B0"/>
    <w:rsid w:val="00B67586"/>
    <w:rsid w:val="00B67928"/>
    <w:rsid w:val="00B67C7F"/>
    <w:rsid w:val="00B67E10"/>
    <w:rsid w:val="00B67EE0"/>
    <w:rsid w:val="00B7008F"/>
    <w:rsid w:val="00B700FE"/>
    <w:rsid w:val="00B7013B"/>
    <w:rsid w:val="00B7017E"/>
    <w:rsid w:val="00B7054E"/>
    <w:rsid w:val="00B707BB"/>
    <w:rsid w:val="00B70F1B"/>
    <w:rsid w:val="00B70FED"/>
    <w:rsid w:val="00B71288"/>
    <w:rsid w:val="00B714F3"/>
    <w:rsid w:val="00B71A81"/>
    <w:rsid w:val="00B71B31"/>
    <w:rsid w:val="00B71B78"/>
    <w:rsid w:val="00B71CFC"/>
    <w:rsid w:val="00B721A8"/>
    <w:rsid w:val="00B7229F"/>
    <w:rsid w:val="00B722BD"/>
    <w:rsid w:val="00B7230B"/>
    <w:rsid w:val="00B72320"/>
    <w:rsid w:val="00B72886"/>
    <w:rsid w:val="00B728C0"/>
    <w:rsid w:val="00B728D6"/>
    <w:rsid w:val="00B728DE"/>
    <w:rsid w:val="00B72E8C"/>
    <w:rsid w:val="00B734B4"/>
    <w:rsid w:val="00B73BE7"/>
    <w:rsid w:val="00B73FC1"/>
    <w:rsid w:val="00B74250"/>
    <w:rsid w:val="00B74304"/>
    <w:rsid w:val="00B74746"/>
    <w:rsid w:val="00B74E14"/>
    <w:rsid w:val="00B74FD2"/>
    <w:rsid w:val="00B74FDB"/>
    <w:rsid w:val="00B7502E"/>
    <w:rsid w:val="00B75184"/>
    <w:rsid w:val="00B75253"/>
    <w:rsid w:val="00B7573C"/>
    <w:rsid w:val="00B7592D"/>
    <w:rsid w:val="00B75A60"/>
    <w:rsid w:val="00B75B1D"/>
    <w:rsid w:val="00B75CAE"/>
    <w:rsid w:val="00B7628A"/>
    <w:rsid w:val="00B762C0"/>
    <w:rsid w:val="00B7680B"/>
    <w:rsid w:val="00B7688C"/>
    <w:rsid w:val="00B7690B"/>
    <w:rsid w:val="00B76BB2"/>
    <w:rsid w:val="00B76DA2"/>
    <w:rsid w:val="00B772C8"/>
    <w:rsid w:val="00B77405"/>
    <w:rsid w:val="00B77445"/>
    <w:rsid w:val="00B77580"/>
    <w:rsid w:val="00B778AC"/>
    <w:rsid w:val="00B77964"/>
    <w:rsid w:val="00B77D8D"/>
    <w:rsid w:val="00B77DDB"/>
    <w:rsid w:val="00B80027"/>
    <w:rsid w:val="00B8007F"/>
    <w:rsid w:val="00B800B7"/>
    <w:rsid w:val="00B80555"/>
    <w:rsid w:val="00B80560"/>
    <w:rsid w:val="00B80603"/>
    <w:rsid w:val="00B807EC"/>
    <w:rsid w:val="00B8087B"/>
    <w:rsid w:val="00B80AF9"/>
    <w:rsid w:val="00B80D26"/>
    <w:rsid w:val="00B80EB3"/>
    <w:rsid w:val="00B80EC6"/>
    <w:rsid w:val="00B811F4"/>
    <w:rsid w:val="00B811FE"/>
    <w:rsid w:val="00B8125A"/>
    <w:rsid w:val="00B813B2"/>
    <w:rsid w:val="00B8158E"/>
    <w:rsid w:val="00B81612"/>
    <w:rsid w:val="00B81623"/>
    <w:rsid w:val="00B816D6"/>
    <w:rsid w:val="00B818A5"/>
    <w:rsid w:val="00B81C8A"/>
    <w:rsid w:val="00B81F61"/>
    <w:rsid w:val="00B8201F"/>
    <w:rsid w:val="00B820A7"/>
    <w:rsid w:val="00B8231C"/>
    <w:rsid w:val="00B823AB"/>
    <w:rsid w:val="00B825EA"/>
    <w:rsid w:val="00B827C0"/>
    <w:rsid w:val="00B82843"/>
    <w:rsid w:val="00B82876"/>
    <w:rsid w:val="00B829F1"/>
    <w:rsid w:val="00B82BA7"/>
    <w:rsid w:val="00B82C84"/>
    <w:rsid w:val="00B82D70"/>
    <w:rsid w:val="00B82F6C"/>
    <w:rsid w:val="00B83126"/>
    <w:rsid w:val="00B832D4"/>
    <w:rsid w:val="00B834ED"/>
    <w:rsid w:val="00B834FB"/>
    <w:rsid w:val="00B834FE"/>
    <w:rsid w:val="00B8351B"/>
    <w:rsid w:val="00B835DC"/>
    <w:rsid w:val="00B83B07"/>
    <w:rsid w:val="00B83D9B"/>
    <w:rsid w:val="00B8419D"/>
    <w:rsid w:val="00B841B2"/>
    <w:rsid w:val="00B84283"/>
    <w:rsid w:val="00B8461D"/>
    <w:rsid w:val="00B8489C"/>
    <w:rsid w:val="00B84B0C"/>
    <w:rsid w:val="00B851AC"/>
    <w:rsid w:val="00B851EA"/>
    <w:rsid w:val="00B854B7"/>
    <w:rsid w:val="00B856E9"/>
    <w:rsid w:val="00B85D5A"/>
    <w:rsid w:val="00B86203"/>
    <w:rsid w:val="00B8635E"/>
    <w:rsid w:val="00B86C0D"/>
    <w:rsid w:val="00B86D4E"/>
    <w:rsid w:val="00B86DDF"/>
    <w:rsid w:val="00B8720F"/>
    <w:rsid w:val="00B872BC"/>
    <w:rsid w:val="00B8733F"/>
    <w:rsid w:val="00B87627"/>
    <w:rsid w:val="00B876F2"/>
    <w:rsid w:val="00B87B41"/>
    <w:rsid w:val="00B87B82"/>
    <w:rsid w:val="00B87DF5"/>
    <w:rsid w:val="00B901D6"/>
    <w:rsid w:val="00B90269"/>
    <w:rsid w:val="00B90645"/>
    <w:rsid w:val="00B908E1"/>
    <w:rsid w:val="00B90B52"/>
    <w:rsid w:val="00B90C94"/>
    <w:rsid w:val="00B911FF"/>
    <w:rsid w:val="00B9137B"/>
    <w:rsid w:val="00B91382"/>
    <w:rsid w:val="00B91524"/>
    <w:rsid w:val="00B915D4"/>
    <w:rsid w:val="00B91988"/>
    <w:rsid w:val="00B919EB"/>
    <w:rsid w:val="00B91C5C"/>
    <w:rsid w:val="00B920AB"/>
    <w:rsid w:val="00B92519"/>
    <w:rsid w:val="00B9269B"/>
    <w:rsid w:val="00B92D2F"/>
    <w:rsid w:val="00B92F13"/>
    <w:rsid w:val="00B92F62"/>
    <w:rsid w:val="00B9309A"/>
    <w:rsid w:val="00B9324E"/>
    <w:rsid w:val="00B933E7"/>
    <w:rsid w:val="00B93864"/>
    <w:rsid w:val="00B93A04"/>
    <w:rsid w:val="00B93A6D"/>
    <w:rsid w:val="00B93B26"/>
    <w:rsid w:val="00B93B90"/>
    <w:rsid w:val="00B93C39"/>
    <w:rsid w:val="00B93D56"/>
    <w:rsid w:val="00B93E75"/>
    <w:rsid w:val="00B93EA0"/>
    <w:rsid w:val="00B94352"/>
    <w:rsid w:val="00B94ACF"/>
    <w:rsid w:val="00B94B04"/>
    <w:rsid w:val="00B94CA3"/>
    <w:rsid w:val="00B94CC5"/>
    <w:rsid w:val="00B94E6B"/>
    <w:rsid w:val="00B94E9C"/>
    <w:rsid w:val="00B94EAF"/>
    <w:rsid w:val="00B95545"/>
    <w:rsid w:val="00B95840"/>
    <w:rsid w:val="00B95A06"/>
    <w:rsid w:val="00B95D09"/>
    <w:rsid w:val="00B95E91"/>
    <w:rsid w:val="00B9605A"/>
    <w:rsid w:val="00B9613C"/>
    <w:rsid w:val="00B9613D"/>
    <w:rsid w:val="00B96228"/>
    <w:rsid w:val="00B96230"/>
    <w:rsid w:val="00B96355"/>
    <w:rsid w:val="00B96474"/>
    <w:rsid w:val="00B9674C"/>
    <w:rsid w:val="00B969E5"/>
    <w:rsid w:val="00B969E9"/>
    <w:rsid w:val="00B96AF5"/>
    <w:rsid w:val="00B96D79"/>
    <w:rsid w:val="00B96FE1"/>
    <w:rsid w:val="00B9755E"/>
    <w:rsid w:val="00B97C47"/>
    <w:rsid w:val="00B97CAB"/>
    <w:rsid w:val="00B97D28"/>
    <w:rsid w:val="00B97EA3"/>
    <w:rsid w:val="00BA00C5"/>
    <w:rsid w:val="00BA04BA"/>
    <w:rsid w:val="00BA05ED"/>
    <w:rsid w:val="00BA0769"/>
    <w:rsid w:val="00BA0E47"/>
    <w:rsid w:val="00BA0EB6"/>
    <w:rsid w:val="00BA1059"/>
    <w:rsid w:val="00BA11BC"/>
    <w:rsid w:val="00BA138E"/>
    <w:rsid w:val="00BA15F3"/>
    <w:rsid w:val="00BA1A25"/>
    <w:rsid w:val="00BA1B04"/>
    <w:rsid w:val="00BA1D4C"/>
    <w:rsid w:val="00BA1E1F"/>
    <w:rsid w:val="00BA1E42"/>
    <w:rsid w:val="00BA22C4"/>
    <w:rsid w:val="00BA23E6"/>
    <w:rsid w:val="00BA2453"/>
    <w:rsid w:val="00BA26C6"/>
    <w:rsid w:val="00BA290B"/>
    <w:rsid w:val="00BA292F"/>
    <w:rsid w:val="00BA2C70"/>
    <w:rsid w:val="00BA2CFB"/>
    <w:rsid w:val="00BA3318"/>
    <w:rsid w:val="00BA3342"/>
    <w:rsid w:val="00BA3471"/>
    <w:rsid w:val="00BA36A9"/>
    <w:rsid w:val="00BA36BE"/>
    <w:rsid w:val="00BA373D"/>
    <w:rsid w:val="00BA38E4"/>
    <w:rsid w:val="00BA39F5"/>
    <w:rsid w:val="00BA3AF9"/>
    <w:rsid w:val="00BA3B25"/>
    <w:rsid w:val="00BA3F9B"/>
    <w:rsid w:val="00BA4090"/>
    <w:rsid w:val="00BA4182"/>
    <w:rsid w:val="00BA4395"/>
    <w:rsid w:val="00BA4676"/>
    <w:rsid w:val="00BA469A"/>
    <w:rsid w:val="00BA4AD6"/>
    <w:rsid w:val="00BA4DB0"/>
    <w:rsid w:val="00BA5291"/>
    <w:rsid w:val="00BA52E5"/>
    <w:rsid w:val="00BA5502"/>
    <w:rsid w:val="00BA599C"/>
    <w:rsid w:val="00BA59BE"/>
    <w:rsid w:val="00BA59EC"/>
    <w:rsid w:val="00BA5A08"/>
    <w:rsid w:val="00BA5CA2"/>
    <w:rsid w:val="00BA5D1D"/>
    <w:rsid w:val="00BA5DED"/>
    <w:rsid w:val="00BA5E0C"/>
    <w:rsid w:val="00BA5EC2"/>
    <w:rsid w:val="00BA5F3D"/>
    <w:rsid w:val="00BA60FA"/>
    <w:rsid w:val="00BA6229"/>
    <w:rsid w:val="00BA646C"/>
    <w:rsid w:val="00BA676D"/>
    <w:rsid w:val="00BA69AF"/>
    <w:rsid w:val="00BA6BD5"/>
    <w:rsid w:val="00BA7151"/>
    <w:rsid w:val="00BA74F4"/>
    <w:rsid w:val="00BA7529"/>
    <w:rsid w:val="00BA75B0"/>
    <w:rsid w:val="00BA7805"/>
    <w:rsid w:val="00BA783F"/>
    <w:rsid w:val="00BA7CF9"/>
    <w:rsid w:val="00BA7EB0"/>
    <w:rsid w:val="00BB0139"/>
    <w:rsid w:val="00BB017D"/>
    <w:rsid w:val="00BB041B"/>
    <w:rsid w:val="00BB0438"/>
    <w:rsid w:val="00BB05E3"/>
    <w:rsid w:val="00BB0966"/>
    <w:rsid w:val="00BB0978"/>
    <w:rsid w:val="00BB0A44"/>
    <w:rsid w:val="00BB0DF0"/>
    <w:rsid w:val="00BB0E4B"/>
    <w:rsid w:val="00BB0F4C"/>
    <w:rsid w:val="00BB0F77"/>
    <w:rsid w:val="00BB10AE"/>
    <w:rsid w:val="00BB10E7"/>
    <w:rsid w:val="00BB1227"/>
    <w:rsid w:val="00BB1518"/>
    <w:rsid w:val="00BB1569"/>
    <w:rsid w:val="00BB17B1"/>
    <w:rsid w:val="00BB181A"/>
    <w:rsid w:val="00BB194A"/>
    <w:rsid w:val="00BB1971"/>
    <w:rsid w:val="00BB1A12"/>
    <w:rsid w:val="00BB1C1C"/>
    <w:rsid w:val="00BB1CF0"/>
    <w:rsid w:val="00BB29DC"/>
    <w:rsid w:val="00BB2D0C"/>
    <w:rsid w:val="00BB33EF"/>
    <w:rsid w:val="00BB3724"/>
    <w:rsid w:val="00BB3798"/>
    <w:rsid w:val="00BB392D"/>
    <w:rsid w:val="00BB3BDA"/>
    <w:rsid w:val="00BB43DA"/>
    <w:rsid w:val="00BB4517"/>
    <w:rsid w:val="00BB46CA"/>
    <w:rsid w:val="00BB47CD"/>
    <w:rsid w:val="00BB481E"/>
    <w:rsid w:val="00BB487F"/>
    <w:rsid w:val="00BB4A1B"/>
    <w:rsid w:val="00BB4DE2"/>
    <w:rsid w:val="00BB5065"/>
    <w:rsid w:val="00BB5190"/>
    <w:rsid w:val="00BB52B8"/>
    <w:rsid w:val="00BB5442"/>
    <w:rsid w:val="00BB5507"/>
    <w:rsid w:val="00BB5AC1"/>
    <w:rsid w:val="00BB5F2A"/>
    <w:rsid w:val="00BB616A"/>
    <w:rsid w:val="00BB64AA"/>
    <w:rsid w:val="00BB64BB"/>
    <w:rsid w:val="00BB6501"/>
    <w:rsid w:val="00BB65BE"/>
    <w:rsid w:val="00BB6851"/>
    <w:rsid w:val="00BB6885"/>
    <w:rsid w:val="00BB6A35"/>
    <w:rsid w:val="00BB6B61"/>
    <w:rsid w:val="00BB6C15"/>
    <w:rsid w:val="00BB6C5F"/>
    <w:rsid w:val="00BB6ED2"/>
    <w:rsid w:val="00BB7203"/>
    <w:rsid w:val="00BB73C4"/>
    <w:rsid w:val="00BB7463"/>
    <w:rsid w:val="00BB74AD"/>
    <w:rsid w:val="00BB7B67"/>
    <w:rsid w:val="00BB7BEC"/>
    <w:rsid w:val="00BB7CF0"/>
    <w:rsid w:val="00BB7D35"/>
    <w:rsid w:val="00BB7D94"/>
    <w:rsid w:val="00BC0299"/>
    <w:rsid w:val="00BC0473"/>
    <w:rsid w:val="00BC0892"/>
    <w:rsid w:val="00BC0F7B"/>
    <w:rsid w:val="00BC1151"/>
    <w:rsid w:val="00BC118B"/>
    <w:rsid w:val="00BC11A2"/>
    <w:rsid w:val="00BC126F"/>
    <w:rsid w:val="00BC1355"/>
    <w:rsid w:val="00BC153E"/>
    <w:rsid w:val="00BC157D"/>
    <w:rsid w:val="00BC164E"/>
    <w:rsid w:val="00BC1956"/>
    <w:rsid w:val="00BC1A06"/>
    <w:rsid w:val="00BC1C6C"/>
    <w:rsid w:val="00BC1CF5"/>
    <w:rsid w:val="00BC1F91"/>
    <w:rsid w:val="00BC203E"/>
    <w:rsid w:val="00BC232A"/>
    <w:rsid w:val="00BC24C7"/>
    <w:rsid w:val="00BC2D09"/>
    <w:rsid w:val="00BC2F6E"/>
    <w:rsid w:val="00BC30CD"/>
    <w:rsid w:val="00BC3232"/>
    <w:rsid w:val="00BC3432"/>
    <w:rsid w:val="00BC3732"/>
    <w:rsid w:val="00BC3786"/>
    <w:rsid w:val="00BC3BED"/>
    <w:rsid w:val="00BC4270"/>
    <w:rsid w:val="00BC4386"/>
    <w:rsid w:val="00BC49EF"/>
    <w:rsid w:val="00BC4A9C"/>
    <w:rsid w:val="00BC4ADA"/>
    <w:rsid w:val="00BC4E28"/>
    <w:rsid w:val="00BC559B"/>
    <w:rsid w:val="00BC55C1"/>
    <w:rsid w:val="00BC56AD"/>
    <w:rsid w:val="00BC5756"/>
    <w:rsid w:val="00BC578A"/>
    <w:rsid w:val="00BC59E3"/>
    <w:rsid w:val="00BC5AFF"/>
    <w:rsid w:val="00BC5BEE"/>
    <w:rsid w:val="00BC5C44"/>
    <w:rsid w:val="00BC5E3F"/>
    <w:rsid w:val="00BC66BB"/>
    <w:rsid w:val="00BC6743"/>
    <w:rsid w:val="00BC6A81"/>
    <w:rsid w:val="00BC6B97"/>
    <w:rsid w:val="00BC6BB1"/>
    <w:rsid w:val="00BC6C2A"/>
    <w:rsid w:val="00BC6DE6"/>
    <w:rsid w:val="00BC6FF1"/>
    <w:rsid w:val="00BC7646"/>
    <w:rsid w:val="00BC790E"/>
    <w:rsid w:val="00BC79B6"/>
    <w:rsid w:val="00BD0471"/>
    <w:rsid w:val="00BD0574"/>
    <w:rsid w:val="00BD0B4C"/>
    <w:rsid w:val="00BD0CFC"/>
    <w:rsid w:val="00BD1162"/>
    <w:rsid w:val="00BD176B"/>
    <w:rsid w:val="00BD1A46"/>
    <w:rsid w:val="00BD1BC8"/>
    <w:rsid w:val="00BD1DAA"/>
    <w:rsid w:val="00BD1E67"/>
    <w:rsid w:val="00BD242A"/>
    <w:rsid w:val="00BD2790"/>
    <w:rsid w:val="00BD2F8B"/>
    <w:rsid w:val="00BD2F8F"/>
    <w:rsid w:val="00BD308D"/>
    <w:rsid w:val="00BD3135"/>
    <w:rsid w:val="00BD38EC"/>
    <w:rsid w:val="00BD3D09"/>
    <w:rsid w:val="00BD3D8F"/>
    <w:rsid w:val="00BD4117"/>
    <w:rsid w:val="00BD4131"/>
    <w:rsid w:val="00BD4374"/>
    <w:rsid w:val="00BD4647"/>
    <w:rsid w:val="00BD4807"/>
    <w:rsid w:val="00BD5289"/>
    <w:rsid w:val="00BD52E5"/>
    <w:rsid w:val="00BD57CB"/>
    <w:rsid w:val="00BD5A11"/>
    <w:rsid w:val="00BD5B90"/>
    <w:rsid w:val="00BD5DD9"/>
    <w:rsid w:val="00BD5E2B"/>
    <w:rsid w:val="00BD5E67"/>
    <w:rsid w:val="00BD619D"/>
    <w:rsid w:val="00BD6787"/>
    <w:rsid w:val="00BD6903"/>
    <w:rsid w:val="00BD6906"/>
    <w:rsid w:val="00BD6C09"/>
    <w:rsid w:val="00BD6F50"/>
    <w:rsid w:val="00BD6F94"/>
    <w:rsid w:val="00BD7148"/>
    <w:rsid w:val="00BD718A"/>
    <w:rsid w:val="00BD71F3"/>
    <w:rsid w:val="00BD7646"/>
    <w:rsid w:val="00BD7CD3"/>
    <w:rsid w:val="00BE0187"/>
    <w:rsid w:val="00BE042D"/>
    <w:rsid w:val="00BE0ABA"/>
    <w:rsid w:val="00BE138C"/>
    <w:rsid w:val="00BE162C"/>
    <w:rsid w:val="00BE18F1"/>
    <w:rsid w:val="00BE1DB8"/>
    <w:rsid w:val="00BE2292"/>
    <w:rsid w:val="00BE23B8"/>
    <w:rsid w:val="00BE23DF"/>
    <w:rsid w:val="00BE24B3"/>
    <w:rsid w:val="00BE2862"/>
    <w:rsid w:val="00BE2886"/>
    <w:rsid w:val="00BE2B64"/>
    <w:rsid w:val="00BE2B69"/>
    <w:rsid w:val="00BE2F15"/>
    <w:rsid w:val="00BE30A6"/>
    <w:rsid w:val="00BE3110"/>
    <w:rsid w:val="00BE3157"/>
    <w:rsid w:val="00BE337C"/>
    <w:rsid w:val="00BE360D"/>
    <w:rsid w:val="00BE36BD"/>
    <w:rsid w:val="00BE39E2"/>
    <w:rsid w:val="00BE3A0C"/>
    <w:rsid w:val="00BE3B54"/>
    <w:rsid w:val="00BE3DF0"/>
    <w:rsid w:val="00BE3E56"/>
    <w:rsid w:val="00BE40DF"/>
    <w:rsid w:val="00BE45A2"/>
    <w:rsid w:val="00BE47CA"/>
    <w:rsid w:val="00BE4A43"/>
    <w:rsid w:val="00BE4B27"/>
    <w:rsid w:val="00BE542A"/>
    <w:rsid w:val="00BE575F"/>
    <w:rsid w:val="00BE586B"/>
    <w:rsid w:val="00BE5949"/>
    <w:rsid w:val="00BE5C63"/>
    <w:rsid w:val="00BE5D97"/>
    <w:rsid w:val="00BE6005"/>
    <w:rsid w:val="00BE6066"/>
    <w:rsid w:val="00BE688A"/>
    <w:rsid w:val="00BE6EA8"/>
    <w:rsid w:val="00BE73BD"/>
    <w:rsid w:val="00BE7418"/>
    <w:rsid w:val="00BE7792"/>
    <w:rsid w:val="00BE78E9"/>
    <w:rsid w:val="00BE7993"/>
    <w:rsid w:val="00BE7C9C"/>
    <w:rsid w:val="00BE7D7C"/>
    <w:rsid w:val="00BF0374"/>
    <w:rsid w:val="00BF059A"/>
    <w:rsid w:val="00BF0A84"/>
    <w:rsid w:val="00BF0B89"/>
    <w:rsid w:val="00BF0EDE"/>
    <w:rsid w:val="00BF11CF"/>
    <w:rsid w:val="00BF120D"/>
    <w:rsid w:val="00BF1270"/>
    <w:rsid w:val="00BF13C1"/>
    <w:rsid w:val="00BF15B3"/>
    <w:rsid w:val="00BF1BC7"/>
    <w:rsid w:val="00BF1CC4"/>
    <w:rsid w:val="00BF20C7"/>
    <w:rsid w:val="00BF270B"/>
    <w:rsid w:val="00BF2E2C"/>
    <w:rsid w:val="00BF2E52"/>
    <w:rsid w:val="00BF307E"/>
    <w:rsid w:val="00BF333C"/>
    <w:rsid w:val="00BF341A"/>
    <w:rsid w:val="00BF3421"/>
    <w:rsid w:val="00BF3496"/>
    <w:rsid w:val="00BF363F"/>
    <w:rsid w:val="00BF3645"/>
    <w:rsid w:val="00BF3775"/>
    <w:rsid w:val="00BF3798"/>
    <w:rsid w:val="00BF38F6"/>
    <w:rsid w:val="00BF3C88"/>
    <w:rsid w:val="00BF3F7B"/>
    <w:rsid w:val="00BF40D7"/>
    <w:rsid w:val="00BF40E3"/>
    <w:rsid w:val="00BF4315"/>
    <w:rsid w:val="00BF4350"/>
    <w:rsid w:val="00BF46FA"/>
    <w:rsid w:val="00BF4B8B"/>
    <w:rsid w:val="00BF4BA1"/>
    <w:rsid w:val="00BF4DDC"/>
    <w:rsid w:val="00BF4F94"/>
    <w:rsid w:val="00BF5111"/>
    <w:rsid w:val="00BF5699"/>
    <w:rsid w:val="00BF57B8"/>
    <w:rsid w:val="00BF57E7"/>
    <w:rsid w:val="00BF5AA2"/>
    <w:rsid w:val="00BF5F0B"/>
    <w:rsid w:val="00BF63FF"/>
    <w:rsid w:val="00BF64FB"/>
    <w:rsid w:val="00BF670A"/>
    <w:rsid w:val="00BF6889"/>
    <w:rsid w:val="00BF6A91"/>
    <w:rsid w:val="00BF6BE7"/>
    <w:rsid w:val="00BF6E24"/>
    <w:rsid w:val="00BF700B"/>
    <w:rsid w:val="00BF7449"/>
    <w:rsid w:val="00BF753F"/>
    <w:rsid w:val="00BF7665"/>
    <w:rsid w:val="00BF76F6"/>
    <w:rsid w:val="00BF7886"/>
    <w:rsid w:val="00BF7920"/>
    <w:rsid w:val="00BF7A12"/>
    <w:rsid w:val="00BF7DCC"/>
    <w:rsid w:val="00BF7F1B"/>
    <w:rsid w:val="00BF7F56"/>
    <w:rsid w:val="00BF7F8D"/>
    <w:rsid w:val="00C00059"/>
    <w:rsid w:val="00C001CC"/>
    <w:rsid w:val="00C00628"/>
    <w:rsid w:val="00C007D2"/>
    <w:rsid w:val="00C00A40"/>
    <w:rsid w:val="00C00C8C"/>
    <w:rsid w:val="00C00E8D"/>
    <w:rsid w:val="00C011D7"/>
    <w:rsid w:val="00C01356"/>
    <w:rsid w:val="00C01763"/>
    <w:rsid w:val="00C01A9F"/>
    <w:rsid w:val="00C01F4F"/>
    <w:rsid w:val="00C02023"/>
    <w:rsid w:val="00C022C7"/>
    <w:rsid w:val="00C02365"/>
    <w:rsid w:val="00C0243B"/>
    <w:rsid w:val="00C02501"/>
    <w:rsid w:val="00C0279F"/>
    <w:rsid w:val="00C02D96"/>
    <w:rsid w:val="00C030A4"/>
    <w:rsid w:val="00C033CB"/>
    <w:rsid w:val="00C0345D"/>
    <w:rsid w:val="00C03C2F"/>
    <w:rsid w:val="00C040C2"/>
    <w:rsid w:val="00C0411E"/>
    <w:rsid w:val="00C043DF"/>
    <w:rsid w:val="00C0453E"/>
    <w:rsid w:val="00C04661"/>
    <w:rsid w:val="00C04B2A"/>
    <w:rsid w:val="00C04B68"/>
    <w:rsid w:val="00C04DDD"/>
    <w:rsid w:val="00C05079"/>
    <w:rsid w:val="00C050BD"/>
    <w:rsid w:val="00C05336"/>
    <w:rsid w:val="00C0536A"/>
    <w:rsid w:val="00C0559F"/>
    <w:rsid w:val="00C055F6"/>
    <w:rsid w:val="00C05660"/>
    <w:rsid w:val="00C0576E"/>
    <w:rsid w:val="00C0594E"/>
    <w:rsid w:val="00C059D0"/>
    <w:rsid w:val="00C05A74"/>
    <w:rsid w:val="00C05CBD"/>
    <w:rsid w:val="00C05E90"/>
    <w:rsid w:val="00C060ED"/>
    <w:rsid w:val="00C06366"/>
    <w:rsid w:val="00C06437"/>
    <w:rsid w:val="00C06565"/>
    <w:rsid w:val="00C066C4"/>
    <w:rsid w:val="00C06776"/>
    <w:rsid w:val="00C06C3D"/>
    <w:rsid w:val="00C06D23"/>
    <w:rsid w:val="00C06E41"/>
    <w:rsid w:val="00C06F52"/>
    <w:rsid w:val="00C07281"/>
    <w:rsid w:val="00C075EB"/>
    <w:rsid w:val="00C0760B"/>
    <w:rsid w:val="00C0761A"/>
    <w:rsid w:val="00C07862"/>
    <w:rsid w:val="00C078B7"/>
    <w:rsid w:val="00C079FB"/>
    <w:rsid w:val="00C07A0D"/>
    <w:rsid w:val="00C07B80"/>
    <w:rsid w:val="00C07C3D"/>
    <w:rsid w:val="00C07D51"/>
    <w:rsid w:val="00C07F93"/>
    <w:rsid w:val="00C1004D"/>
    <w:rsid w:val="00C10198"/>
    <w:rsid w:val="00C103A3"/>
    <w:rsid w:val="00C103D8"/>
    <w:rsid w:val="00C10468"/>
    <w:rsid w:val="00C1048A"/>
    <w:rsid w:val="00C1051A"/>
    <w:rsid w:val="00C10688"/>
    <w:rsid w:val="00C108D0"/>
    <w:rsid w:val="00C10B67"/>
    <w:rsid w:val="00C10E4E"/>
    <w:rsid w:val="00C112CD"/>
    <w:rsid w:val="00C1167E"/>
    <w:rsid w:val="00C11B50"/>
    <w:rsid w:val="00C11F23"/>
    <w:rsid w:val="00C11FC3"/>
    <w:rsid w:val="00C12234"/>
    <w:rsid w:val="00C1276C"/>
    <w:rsid w:val="00C127EB"/>
    <w:rsid w:val="00C12B4B"/>
    <w:rsid w:val="00C12B95"/>
    <w:rsid w:val="00C12C32"/>
    <w:rsid w:val="00C12C5B"/>
    <w:rsid w:val="00C12D76"/>
    <w:rsid w:val="00C13142"/>
    <w:rsid w:val="00C133E6"/>
    <w:rsid w:val="00C13478"/>
    <w:rsid w:val="00C135AB"/>
    <w:rsid w:val="00C137C2"/>
    <w:rsid w:val="00C13968"/>
    <w:rsid w:val="00C13BED"/>
    <w:rsid w:val="00C13D31"/>
    <w:rsid w:val="00C13EC1"/>
    <w:rsid w:val="00C13F61"/>
    <w:rsid w:val="00C141B7"/>
    <w:rsid w:val="00C14BBE"/>
    <w:rsid w:val="00C14BDB"/>
    <w:rsid w:val="00C14BF1"/>
    <w:rsid w:val="00C14DBE"/>
    <w:rsid w:val="00C14F29"/>
    <w:rsid w:val="00C14F51"/>
    <w:rsid w:val="00C15250"/>
    <w:rsid w:val="00C15683"/>
    <w:rsid w:val="00C157DF"/>
    <w:rsid w:val="00C15839"/>
    <w:rsid w:val="00C1589D"/>
    <w:rsid w:val="00C15B57"/>
    <w:rsid w:val="00C15EDC"/>
    <w:rsid w:val="00C15F9E"/>
    <w:rsid w:val="00C16048"/>
    <w:rsid w:val="00C160F4"/>
    <w:rsid w:val="00C162C6"/>
    <w:rsid w:val="00C169EF"/>
    <w:rsid w:val="00C17370"/>
    <w:rsid w:val="00C173DB"/>
    <w:rsid w:val="00C17BBC"/>
    <w:rsid w:val="00C17C1F"/>
    <w:rsid w:val="00C17D3A"/>
    <w:rsid w:val="00C17DC2"/>
    <w:rsid w:val="00C17E53"/>
    <w:rsid w:val="00C20003"/>
    <w:rsid w:val="00C20033"/>
    <w:rsid w:val="00C2025B"/>
    <w:rsid w:val="00C20430"/>
    <w:rsid w:val="00C205DD"/>
    <w:rsid w:val="00C20990"/>
    <w:rsid w:val="00C209F1"/>
    <w:rsid w:val="00C20A5E"/>
    <w:rsid w:val="00C20B95"/>
    <w:rsid w:val="00C20E5C"/>
    <w:rsid w:val="00C20F67"/>
    <w:rsid w:val="00C21036"/>
    <w:rsid w:val="00C2119C"/>
    <w:rsid w:val="00C212D3"/>
    <w:rsid w:val="00C21462"/>
    <w:rsid w:val="00C214C8"/>
    <w:rsid w:val="00C21645"/>
    <w:rsid w:val="00C2179F"/>
    <w:rsid w:val="00C21A73"/>
    <w:rsid w:val="00C21AD4"/>
    <w:rsid w:val="00C21D71"/>
    <w:rsid w:val="00C21FA6"/>
    <w:rsid w:val="00C22165"/>
    <w:rsid w:val="00C22258"/>
    <w:rsid w:val="00C22563"/>
    <w:rsid w:val="00C22696"/>
    <w:rsid w:val="00C2281C"/>
    <w:rsid w:val="00C22E44"/>
    <w:rsid w:val="00C2318C"/>
    <w:rsid w:val="00C232D6"/>
    <w:rsid w:val="00C237F3"/>
    <w:rsid w:val="00C238D8"/>
    <w:rsid w:val="00C2397E"/>
    <w:rsid w:val="00C23C71"/>
    <w:rsid w:val="00C23CEC"/>
    <w:rsid w:val="00C242D3"/>
    <w:rsid w:val="00C24694"/>
    <w:rsid w:val="00C246FB"/>
    <w:rsid w:val="00C24DF4"/>
    <w:rsid w:val="00C2546B"/>
    <w:rsid w:val="00C255EC"/>
    <w:rsid w:val="00C25879"/>
    <w:rsid w:val="00C25B6B"/>
    <w:rsid w:val="00C25BBA"/>
    <w:rsid w:val="00C25E93"/>
    <w:rsid w:val="00C26A6F"/>
    <w:rsid w:val="00C26CDA"/>
    <w:rsid w:val="00C27276"/>
    <w:rsid w:val="00C272B6"/>
    <w:rsid w:val="00C276D3"/>
    <w:rsid w:val="00C27AC4"/>
    <w:rsid w:val="00C27D60"/>
    <w:rsid w:val="00C27FAD"/>
    <w:rsid w:val="00C3082F"/>
    <w:rsid w:val="00C30994"/>
    <w:rsid w:val="00C309A7"/>
    <w:rsid w:val="00C309AD"/>
    <w:rsid w:val="00C309F2"/>
    <w:rsid w:val="00C30A7D"/>
    <w:rsid w:val="00C30C50"/>
    <w:rsid w:val="00C30D38"/>
    <w:rsid w:val="00C30DC2"/>
    <w:rsid w:val="00C30DCE"/>
    <w:rsid w:val="00C311F2"/>
    <w:rsid w:val="00C312AC"/>
    <w:rsid w:val="00C3147D"/>
    <w:rsid w:val="00C31493"/>
    <w:rsid w:val="00C315AB"/>
    <w:rsid w:val="00C318A0"/>
    <w:rsid w:val="00C31BE9"/>
    <w:rsid w:val="00C31C2A"/>
    <w:rsid w:val="00C31DC2"/>
    <w:rsid w:val="00C322D7"/>
    <w:rsid w:val="00C322E0"/>
    <w:rsid w:val="00C3249C"/>
    <w:rsid w:val="00C324F0"/>
    <w:rsid w:val="00C32574"/>
    <w:rsid w:val="00C325D9"/>
    <w:rsid w:val="00C3263E"/>
    <w:rsid w:val="00C32792"/>
    <w:rsid w:val="00C32AA6"/>
    <w:rsid w:val="00C32B92"/>
    <w:rsid w:val="00C32F28"/>
    <w:rsid w:val="00C32FAF"/>
    <w:rsid w:val="00C33018"/>
    <w:rsid w:val="00C332AB"/>
    <w:rsid w:val="00C332B7"/>
    <w:rsid w:val="00C33440"/>
    <w:rsid w:val="00C334B6"/>
    <w:rsid w:val="00C334E9"/>
    <w:rsid w:val="00C33780"/>
    <w:rsid w:val="00C33C8F"/>
    <w:rsid w:val="00C33E32"/>
    <w:rsid w:val="00C340D8"/>
    <w:rsid w:val="00C34214"/>
    <w:rsid w:val="00C34315"/>
    <w:rsid w:val="00C3480E"/>
    <w:rsid w:val="00C34940"/>
    <w:rsid w:val="00C3497D"/>
    <w:rsid w:val="00C349C8"/>
    <w:rsid w:val="00C34FA5"/>
    <w:rsid w:val="00C35005"/>
    <w:rsid w:val="00C3521D"/>
    <w:rsid w:val="00C35712"/>
    <w:rsid w:val="00C357A2"/>
    <w:rsid w:val="00C35994"/>
    <w:rsid w:val="00C35D53"/>
    <w:rsid w:val="00C35E5B"/>
    <w:rsid w:val="00C35E81"/>
    <w:rsid w:val="00C35FA5"/>
    <w:rsid w:val="00C363FC"/>
    <w:rsid w:val="00C36569"/>
    <w:rsid w:val="00C36836"/>
    <w:rsid w:val="00C3685A"/>
    <w:rsid w:val="00C3693C"/>
    <w:rsid w:val="00C36952"/>
    <w:rsid w:val="00C36AA7"/>
    <w:rsid w:val="00C36AE0"/>
    <w:rsid w:val="00C36B92"/>
    <w:rsid w:val="00C37068"/>
    <w:rsid w:val="00C371CE"/>
    <w:rsid w:val="00C3723C"/>
    <w:rsid w:val="00C3787B"/>
    <w:rsid w:val="00C378BA"/>
    <w:rsid w:val="00C37DE7"/>
    <w:rsid w:val="00C37E54"/>
    <w:rsid w:val="00C37EBB"/>
    <w:rsid w:val="00C4019B"/>
    <w:rsid w:val="00C40415"/>
    <w:rsid w:val="00C4061A"/>
    <w:rsid w:val="00C406A4"/>
    <w:rsid w:val="00C406E4"/>
    <w:rsid w:val="00C4096E"/>
    <w:rsid w:val="00C40A65"/>
    <w:rsid w:val="00C40A70"/>
    <w:rsid w:val="00C40B33"/>
    <w:rsid w:val="00C40D79"/>
    <w:rsid w:val="00C40DC7"/>
    <w:rsid w:val="00C40F49"/>
    <w:rsid w:val="00C41156"/>
    <w:rsid w:val="00C413DF"/>
    <w:rsid w:val="00C41487"/>
    <w:rsid w:val="00C415C4"/>
    <w:rsid w:val="00C4191D"/>
    <w:rsid w:val="00C41ADD"/>
    <w:rsid w:val="00C41DA3"/>
    <w:rsid w:val="00C41E2C"/>
    <w:rsid w:val="00C420D9"/>
    <w:rsid w:val="00C427A8"/>
    <w:rsid w:val="00C428B5"/>
    <w:rsid w:val="00C42E58"/>
    <w:rsid w:val="00C42EC8"/>
    <w:rsid w:val="00C43120"/>
    <w:rsid w:val="00C43374"/>
    <w:rsid w:val="00C434A6"/>
    <w:rsid w:val="00C434B9"/>
    <w:rsid w:val="00C434C3"/>
    <w:rsid w:val="00C43506"/>
    <w:rsid w:val="00C43594"/>
    <w:rsid w:val="00C435ED"/>
    <w:rsid w:val="00C43839"/>
    <w:rsid w:val="00C43892"/>
    <w:rsid w:val="00C439CB"/>
    <w:rsid w:val="00C439DE"/>
    <w:rsid w:val="00C43B24"/>
    <w:rsid w:val="00C43B72"/>
    <w:rsid w:val="00C43C7A"/>
    <w:rsid w:val="00C440D9"/>
    <w:rsid w:val="00C441A3"/>
    <w:rsid w:val="00C441EE"/>
    <w:rsid w:val="00C442B9"/>
    <w:rsid w:val="00C4441B"/>
    <w:rsid w:val="00C44884"/>
    <w:rsid w:val="00C44A5B"/>
    <w:rsid w:val="00C44A88"/>
    <w:rsid w:val="00C44AE9"/>
    <w:rsid w:val="00C44D5F"/>
    <w:rsid w:val="00C44F5B"/>
    <w:rsid w:val="00C45043"/>
    <w:rsid w:val="00C45203"/>
    <w:rsid w:val="00C45479"/>
    <w:rsid w:val="00C4552B"/>
    <w:rsid w:val="00C458B5"/>
    <w:rsid w:val="00C45C3F"/>
    <w:rsid w:val="00C45CF5"/>
    <w:rsid w:val="00C46055"/>
    <w:rsid w:val="00C462FF"/>
    <w:rsid w:val="00C46492"/>
    <w:rsid w:val="00C464FE"/>
    <w:rsid w:val="00C465AB"/>
    <w:rsid w:val="00C465E7"/>
    <w:rsid w:val="00C46879"/>
    <w:rsid w:val="00C4687D"/>
    <w:rsid w:val="00C46F09"/>
    <w:rsid w:val="00C46F7D"/>
    <w:rsid w:val="00C470BA"/>
    <w:rsid w:val="00C470F1"/>
    <w:rsid w:val="00C471EB"/>
    <w:rsid w:val="00C47283"/>
    <w:rsid w:val="00C47339"/>
    <w:rsid w:val="00C47591"/>
    <w:rsid w:val="00C4771E"/>
    <w:rsid w:val="00C47E13"/>
    <w:rsid w:val="00C50047"/>
    <w:rsid w:val="00C5010E"/>
    <w:rsid w:val="00C503B9"/>
    <w:rsid w:val="00C50959"/>
    <w:rsid w:val="00C509A7"/>
    <w:rsid w:val="00C50A19"/>
    <w:rsid w:val="00C50A43"/>
    <w:rsid w:val="00C50CB0"/>
    <w:rsid w:val="00C50DBA"/>
    <w:rsid w:val="00C51146"/>
    <w:rsid w:val="00C511E0"/>
    <w:rsid w:val="00C5121C"/>
    <w:rsid w:val="00C5140B"/>
    <w:rsid w:val="00C5182D"/>
    <w:rsid w:val="00C51928"/>
    <w:rsid w:val="00C51B77"/>
    <w:rsid w:val="00C51C10"/>
    <w:rsid w:val="00C51D75"/>
    <w:rsid w:val="00C51FF5"/>
    <w:rsid w:val="00C52009"/>
    <w:rsid w:val="00C52052"/>
    <w:rsid w:val="00C5209C"/>
    <w:rsid w:val="00C520C7"/>
    <w:rsid w:val="00C522E5"/>
    <w:rsid w:val="00C52785"/>
    <w:rsid w:val="00C52BB6"/>
    <w:rsid w:val="00C52CE5"/>
    <w:rsid w:val="00C52E6F"/>
    <w:rsid w:val="00C5305C"/>
    <w:rsid w:val="00C53132"/>
    <w:rsid w:val="00C534F4"/>
    <w:rsid w:val="00C53601"/>
    <w:rsid w:val="00C5394D"/>
    <w:rsid w:val="00C53C3F"/>
    <w:rsid w:val="00C53EFA"/>
    <w:rsid w:val="00C53F0A"/>
    <w:rsid w:val="00C544D2"/>
    <w:rsid w:val="00C545AB"/>
    <w:rsid w:val="00C5487E"/>
    <w:rsid w:val="00C54A2C"/>
    <w:rsid w:val="00C5521B"/>
    <w:rsid w:val="00C554C7"/>
    <w:rsid w:val="00C5562F"/>
    <w:rsid w:val="00C55B70"/>
    <w:rsid w:val="00C55C07"/>
    <w:rsid w:val="00C55CA8"/>
    <w:rsid w:val="00C5613F"/>
    <w:rsid w:val="00C5642B"/>
    <w:rsid w:val="00C56564"/>
    <w:rsid w:val="00C56669"/>
    <w:rsid w:val="00C566E8"/>
    <w:rsid w:val="00C5679B"/>
    <w:rsid w:val="00C567A0"/>
    <w:rsid w:val="00C56849"/>
    <w:rsid w:val="00C56A2B"/>
    <w:rsid w:val="00C56A5D"/>
    <w:rsid w:val="00C56B49"/>
    <w:rsid w:val="00C56E44"/>
    <w:rsid w:val="00C57089"/>
    <w:rsid w:val="00C573FA"/>
    <w:rsid w:val="00C5744D"/>
    <w:rsid w:val="00C574B0"/>
    <w:rsid w:val="00C575BC"/>
    <w:rsid w:val="00C57956"/>
    <w:rsid w:val="00C57AF4"/>
    <w:rsid w:val="00C57B5B"/>
    <w:rsid w:val="00C57E3D"/>
    <w:rsid w:val="00C60196"/>
    <w:rsid w:val="00C603D8"/>
    <w:rsid w:val="00C60862"/>
    <w:rsid w:val="00C60ADE"/>
    <w:rsid w:val="00C60BB1"/>
    <w:rsid w:val="00C60ED6"/>
    <w:rsid w:val="00C60FE5"/>
    <w:rsid w:val="00C61491"/>
    <w:rsid w:val="00C61695"/>
    <w:rsid w:val="00C6171D"/>
    <w:rsid w:val="00C617E1"/>
    <w:rsid w:val="00C617E4"/>
    <w:rsid w:val="00C61F59"/>
    <w:rsid w:val="00C62044"/>
    <w:rsid w:val="00C62517"/>
    <w:rsid w:val="00C62701"/>
    <w:rsid w:val="00C6278B"/>
    <w:rsid w:val="00C62814"/>
    <w:rsid w:val="00C628B8"/>
    <w:rsid w:val="00C62936"/>
    <w:rsid w:val="00C6295D"/>
    <w:rsid w:val="00C62F54"/>
    <w:rsid w:val="00C6303E"/>
    <w:rsid w:val="00C638A0"/>
    <w:rsid w:val="00C639E4"/>
    <w:rsid w:val="00C63B0B"/>
    <w:rsid w:val="00C63C2D"/>
    <w:rsid w:val="00C640CB"/>
    <w:rsid w:val="00C644BF"/>
    <w:rsid w:val="00C64B53"/>
    <w:rsid w:val="00C64BA9"/>
    <w:rsid w:val="00C64F4F"/>
    <w:rsid w:val="00C6506B"/>
    <w:rsid w:val="00C6526A"/>
    <w:rsid w:val="00C653A0"/>
    <w:rsid w:val="00C65925"/>
    <w:rsid w:val="00C65FFC"/>
    <w:rsid w:val="00C6636B"/>
    <w:rsid w:val="00C66871"/>
    <w:rsid w:val="00C66917"/>
    <w:rsid w:val="00C66A90"/>
    <w:rsid w:val="00C66DBA"/>
    <w:rsid w:val="00C6703A"/>
    <w:rsid w:val="00C670B6"/>
    <w:rsid w:val="00C67525"/>
    <w:rsid w:val="00C679F1"/>
    <w:rsid w:val="00C67AA2"/>
    <w:rsid w:val="00C67BF3"/>
    <w:rsid w:val="00C70079"/>
    <w:rsid w:val="00C702A5"/>
    <w:rsid w:val="00C705A1"/>
    <w:rsid w:val="00C70631"/>
    <w:rsid w:val="00C7073B"/>
    <w:rsid w:val="00C707E1"/>
    <w:rsid w:val="00C70ACA"/>
    <w:rsid w:val="00C70C95"/>
    <w:rsid w:val="00C712BA"/>
    <w:rsid w:val="00C715BE"/>
    <w:rsid w:val="00C71839"/>
    <w:rsid w:val="00C7193A"/>
    <w:rsid w:val="00C719AF"/>
    <w:rsid w:val="00C71B03"/>
    <w:rsid w:val="00C71FAC"/>
    <w:rsid w:val="00C720B7"/>
    <w:rsid w:val="00C7241A"/>
    <w:rsid w:val="00C7263B"/>
    <w:rsid w:val="00C728CE"/>
    <w:rsid w:val="00C72939"/>
    <w:rsid w:val="00C729F9"/>
    <w:rsid w:val="00C72A22"/>
    <w:rsid w:val="00C72F84"/>
    <w:rsid w:val="00C731CD"/>
    <w:rsid w:val="00C737A1"/>
    <w:rsid w:val="00C7385A"/>
    <w:rsid w:val="00C73BE2"/>
    <w:rsid w:val="00C73DE4"/>
    <w:rsid w:val="00C74827"/>
    <w:rsid w:val="00C74B0A"/>
    <w:rsid w:val="00C74F12"/>
    <w:rsid w:val="00C75209"/>
    <w:rsid w:val="00C75334"/>
    <w:rsid w:val="00C75C0A"/>
    <w:rsid w:val="00C75C88"/>
    <w:rsid w:val="00C75D3E"/>
    <w:rsid w:val="00C75FD2"/>
    <w:rsid w:val="00C76224"/>
    <w:rsid w:val="00C765E1"/>
    <w:rsid w:val="00C766F6"/>
    <w:rsid w:val="00C76704"/>
    <w:rsid w:val="00C76784"/>
    <w:rsid w:val="00C76AB9"/>
    <w:rsid w:val="00C76CE7"/>
    <w:rsid w:val="00C76E27"/>
    <w:rsid w:val="00C77114"/>
    <w:rsid w:val="00C771AA"/>
    <w:rsid w:val="00C7736F"/>
    <w:rsid w:val="00C77393"/>
    <w:rsid w:val="00C77701"/>
    <w:rsid w:val="00C77D23"/>
    <w:rsid w:val="00C77F0B"/>
    <w:rsid w:val="00C77FF0"/>
    <w:rsid w:val="00C8022D"/>
    <w:rsid w:val="00C80BA8"/>
    <w:rsid w:val="00C80EC9"/>
    <w:rsid w:val="00C810EA"/>
    <w:rsid w:val="00C812EF"/>
    <w:rsid w:val="00C8136E"/>
    <w:rsid w:val="00C81794"/>
    <w:rsid w:val="00C81868"/>
    <w:rsid w:val="00C81890"/>
    <w:rsid w:val="00C81A9A"/>
    <w:rsid w:val="00C81C82"/>
    <w:rsid w:val="00C81E32"/>
    <w:rsid w:val="00C82064"/>
    <w:rsid w:val="00C820CE"/>
    <w:rsid w:val="00C82161"/>
    <w:rsid w:val="00C82241"/>
    <w:rsid w:val="00C82317"/>
    <w:rsid w:val="00C82468"/>
    <w:rsid w:val="00C82667"/>
    <w:rsid w:val="00C829FC"/>
    <w:rsid w:val="00C82A25"/>
    <w:rsid w:val="00C82E14"/>
    <w:rsid w:val="00C82EE5"/>
    <w:rsid w:val="00C83091"/>
    <w:rsid w:val="00C834D1"/>
    <w:rsid w:val="00C834FE"/>
    <w:rsid w:val="00C83574"/>
    <w:rsid w:val="00C835E6"/>
    <w:rsid w:val="00C83994"/>
    <w:rsid w:val="00C83AEE"/>
    <w:rsid w:val="00C84103"/>
    <w:rsid w:val="00C84458"/>
    <w:rsid w:val="00C84B3E"/>
    <w:rsid w:val="00C85120"/>
    <w:rsid w:val="00C8535B"/>
    <w:rsid w:val="00C855A0"/>
    <w:rsid w:val="00C85A02"/>
    <w:rsid w:val="00C85A04"/>
    <w:rsid w:val="00C85B0D"/>
    <w:rsid w:val="00C85B86"/>
    <w:rsid w:val="00C85F03"/>
    <w:rsid w:val="00C85F68"/>
    <w:rsid w:val="00C85FAC"/>
    <w:rsid w:val="00C861B4"/>
    <w:rsid w:val="00C86DF3"/>
    <w:rsid w:val="00C86E3B"/>
    <w:rsid w:val="00C86FBC"/>
    <w:rsid w:val="00C872A8"/>
    <w:rsid w:val="00C872FF"/>
    <w:rsid w:val="00C8733A"/>
    <w:rsid w:val="00C87389"/>
    <w:rsid w:val="00C87705"/>
    <w:rsid w:val="00C879BC"/>
    <w:rsid w:val="00C87C8C"/>
    <w:rsid w:val="00C87C9F"/>
    <w:rsid w:val="00C901D6"/>
    <w:rsid w:val="00C902DA"/>
    <w:rsid w:val="00C90422"/>
    <w:rsid w:val="00C90B9F"/>
    <w:rsid w:val="00C90CDA"/>
    <w:rsid w:val="00C90E37"/>
    <w:rsid w:val="00C9101F"/>
    <w:rsid w:val="00C914E8"/>
    <w:rsid w:val="00C915A5"/>
    <w:rsid w:val="00C91B67"/>
    <w:rsid w:val="00C91BF6"/>
    <w:rsid w:val="00C91CAD"/>
    <w:rsid w:val="00C920FD"/>
    <w:rsid w:val="00C92409"/>
    <w:rsid w:val="00C924F6"/>
    <w:rsid w:val="00C926F7"/>
    <w:rsid w:val="00C928BC"/>
    <w:rsid w:val="00C92DC7"/>
    <w:rsid w:val="00C92E7A"/>
    <w:rsid w:val="00C92F1A"/>
    <w:rsid w:val="00C92FBB"/>
    <w:rsid w:val="00C92FC2"/>
    <w:rsid w:val="00C93121"/>
    <w:rsid w:val="00C9339F"/>
    <w:rsid w:val="00C933DE"/>
    <w:rsid w:val="00C93B2D"/>
    <w:rsid w:val="00C93BB0"/>
    <w:rsid w:val="00C93D30"/>
    <w:rsid w:val="00C93D61"/>
    <w:rsid w:val="00C93DBC"/>
    <w:rsid w:val="00C93DC5"/>
    <w:rsid w:val="00C93FAD"/>
    <w:rsid w:val="00C9410D"/>
    <w:rsid w:val="00C942AD"/>
    <w:rsid w:val="00C94419"/>
    <w:rsid w:val="00C94530"/>
    <w:rsid w:val="00C945A5"/>
    <w:rsid w:val="00C94F47"/>
    <w:rsid w:val="00C950F9"/>
    <w:rsid w:val="00C954FC"/>
    <w:rsid w:val="00C95531"/>
    <w:rsid w:val="00C958B4"/>
    <w:rsid w:val="00C95B5E"/>
    <w:rsid w:val="00C95C52"/>
    <w:rsid w:val="00C95C5F"/>
    <w:rsid w:val="00C95C6C"/>
    <w:rsid w:val="00C95D69"/>
    <w:rsid w:val="00C95DDF"/>
    <w:rsid w:val="00C9641A"/>
    <w:rsid w:val="00C9664F"/>
    <w:rsid w:val="00C96A75"/>
    <w:rsid w:val="00C96C58"/>
    <w:rsid w:val="00C96F1D"/>
    <w:rsid w:val="00C96FAD"/>
    <w:rsid w:val="00C9724C"/>
    <w:rsid w:val="00C97346"/>
    <w:rsid w:val="00C97576"/>
    <w:rsid w:val="00C97821"/>
    <w:rsid w:val="00C978B7"/>
    <w:rsid w:val="00C978DC"/>
    <w:rsid w:val="00C97A10"/>
    <w:rsid w:val="00C97A49"/>
    <w:rsid w:val="00C97AFE"/>
    <w:rsid w:val="00C97B2C"/>
    <w:rsid w:val="00C97BC7"/>
    <w:rsid w:val="00C97E55"/>
    <w:rsid w:val="00CA067F"/>
    <w:rsid w:val="00CA0F00"/>
    <w:rsid w:val="00CA0F7A"/>
    <w:rsid w:val="00CA12F3"/>
    <w:rsid w:val="00CA1812"/>
    <w:rsid w:val="00CA1934"/>
    <w:rsid w:val="00CA19C0"/>
    <w:rsid w:val="00CA1BD9"/>
    <w:rsid w:val="00CA1FC2"/>
    <w:rsid w:val="00CA20B7"/>
    <w:rsid w:val="00CA2293"/>
    <w:rsid w:val="00CA2469"/>
    <w:rsid w:val="00CA2643"/>
    <w:rsid w:val="00CA2670"/>
    <w:rsid w:val="00CA280A"/>
    <w:rsid w:val="00CA2A37"/>
    <w:rsid w:val="00CA2F87"/>
    <w:rsid w:val="00CA310A"/>
    <w:rsid w:val="00CA32D7"/>
    <w:rsid w:val="00CA3551"/>
    <w:rsid w:val="00CA355D"/>
    <w:rsid w:val="00CA3933"/>
    <w:rsid w:val="00CA3BBA"/>
    <w:rsid w:val="00CA3DCD"/>
    <w:rsid w:val="00CA3EFA"/>
    <w:rsid w:val="00CA448D"/>
    <w:rsid w:val="00CA49FC"/>
    <w:rsid w:val="00CA4B19"/>
    <w:rsid w:val="00CA4C51"/>
    <w:rsid w:val="00CA584B"/>
    <w:rsid w:val="00CA5872"/>
    <w:rsid w:val="00CA5949"/>
    <w:rsid w:val="00CA59C7"/>
    <w:rsid w:val="00CA5A3B"/>
    <w:rsid w:val="00CA5C8F"/>
    <w:rsid w:val="00CA5D60"/>
    <w:rsid w:val="00CA6064"/>
    <w:rsid w:val="00CA6909"/>
    <w:rsid w:val="00CA6937"/>
    <w:rsid w:val="00CA6DE1"/>
    <w:rsid w:val="00CA6E7D"/>
    <w:rsid w:val="00CA6E83"/>
    <w:rsid w:val="00CA6EF1"/>
    <w:rsid w:val="00CA6F8F"/>
    <w:rsid w:val="00CA715A"/>
    <w:rsid w:val="00CA719A"/>
    <w:rsid w:val="00CB006A"/>
    <w:rsid w:val="00CB05C6"/>
    <w:rsid w:val="00CB067D"/>
    <w:rsid w:val="00CB07D6"/>
    <w:rsid w:val="00CB0BD0"/>
    <w:rsid w:val="00CB0D2C"/>
    <w:rsid w:val="00CB0F69"/>
    <w:rsid w:val="00CB10E6"/>
    <w:rsid w:val="00CB116D"/>
    <w:rsid w:val="00CB1445"/>
    <w:rsid w:val="00CB171B"/>
    <w:rsid w:val="00CB1A94"/>
    <w:rsid w:val="00CB1CBA"/>
    <w:rsid w:val="00CB1CEF"/>
    <w:rsid w:val="00CB1F6E"/>
    <w:rsid w:val="00CB2328"/>
    <w:rsid w:val="00CB246B"/>
    <w:rsid w:val="00CB25AF"/>
    <w:rsid w:val="00CB29FE"/>
    <w:rsid w:val="00CB2AC7"/>
    <w:rsid w:val="00CB2E2E"/>
    <w:rsid w:val="00CB2EC1"/>
    <w:rsid w:val="00CB327B"/>
    <w:rsid w:val="00CB331D"/>
    <w:rsid w:val="00CB3542"/>
    <w:rsid w:val="00CB39C7"/>
    <w:rsid w:val="00CB3CE3"/>
    <w:rsid w:val="00CB4003"/>
    <w:rsid w:val="00CB4029"/>
    <w:rsid w:val="00CB4545"/>
    <w:rsid w:val="00CB47D6"/>
    <w:rsid w:val="00CB4DB7"/>
    <w:rsid w:val="00CB4E51"/>
    <w:rsid w:val="00CB4F21"/>
    <w:rsid w:val="00CB548C"/>
    <w:rsid w:val="00CB578C"/>
    <w:rsid w:val="00CB5844"/>
    <w:rsid w:val="00CB5875"/>
    <w:rsid w:val="00CB5A18"/>
    <w:rsid w:val="00CB5A1A"/>
    <w:rsid w:val="00CB654E"/>
    <w:rsid w:val="00CB664F"/>
    <w:rsid w:val="00CB67A5"/>
    <w:rsid w:val="00CB69C6"/>
    <w:rsid w:val="00CB70E2"/>
    <w:rsid w:val="00CB74FE"/>
    <w:rsid w:val="00CB7ACD"/>
    <w:rsid w:val="00CC012B"/>
    <w:rsid w:val="00CC0165"/>
    <w:rsid w:val="00CC0571"/>
    <w:rsid w:val="00CC0692"/>
    <w:rsid w:val="00CC0834"/>
    <w:rsid w:val="00CC0A0F"/>
    <w:rsid w:val="00CC0C83"/>
    <w:rsid w:val="00CC0E15"/>
    <w:rsid w:val="00CC0E37"/>
    <w:rsid w:val="00CC111E"/>
    <w:rsid w:val="00CC121C"/>
    <w:rsid w:val="00CC13CB"/>
    <w:rsid w:val="00CC145E"/>
    <w:rsid w:val="00CC188F"/>
    <w:rsid w:val="00CC1A02"/>
    <w:rsid w:val="00CC1C4A"/>
    <w:rsid w:val="00CC1D04"/>
    <w:rsid w:val="00CC1D49"/>
    <w:rsid w:val="00CC1E0E"/>
    <w:rsid w:val="00CC1F04"/>
    <w:rsid w:val="00CC209B"/>
    <w:rsid w:val="00CC2130"/>
    <w:rsid w:val="00CC238F"/>
    <w:rsid w:val="00CC2638"/>
    <w:rsid w:val="00CC2671"/>
    <w:rsid w:val="00CC27F4"/>
    <w:rsid w:val="00CC2C74"/>
    <w:rsid w:val="00CC3189"/>
    <w:rsid w:val="00CC39D3"/>
    <w:rsid w:val="00CC3B49"/>
    <w:rsid w:val="00CC3CF5"/>
    <w:rsid w:val="00CC3E1F"/>
    <w:rsid w:val="00CC3EF1"/>
    <w:rsid w:val="00CC3FEE"/>
    <w:rsid w:val="00CC402C"/>
    <w:rsid w:val="00CC42F5"/>
    <w:rsid w:val="00CC4404"/>
    <w:rsid w:val="00CC4581"/>
    <w:rsid w:val="00CC4609"/>
    <w:rsid w:val="00CC4652"/>
    <w:rsid w:val="00CC4A1A"/>
    <w:rsid w:val="00CC4C85"/>
    <w:rsid w:val="00CC4F84"/>
    <w:rsid w:val="00CC4FA6"/>
    <w:rsid w:val="00CC4FAC"/>
    <w:rsid w:val="00CC50BD"/>
    <w:rsid w:val="00CC5295"/>
    <w:rsid w:val="00CC53D5"/>
    <w:rsid w:val="00CC5407"/>
    <w:rsid w:val="00CC546F"/>
    <w:rsid w:val="00CC54B8"/>
    <w:rsid w:val="00CC54BD"/>
    <w:rsid w:val="00CC5646"/>
    <w:rsid w:val="00CC5AE6"/>
    <w:rsid w:val="00CC5E2E"/>
    <w:rsid w:val="00CC5F94"/>
    <w:rsid w:val="00CC6390"/>
    <w:rsid w:val="00CC6804"/>
    <w:rsid w:val="00CC68E9"/>
    <w:rsid w:val="00CC6AF9"/>
    <w:rsid w:val="00CC6BB0"/>
    <w:rsid w:val="00CC6CB7"/>
    <w:rsid w:val="00CC6D1E"/>
    <w:rsid w:val="00CC6F3D"/>
    <w:rsid w:val="00CC6FF5"/>
    <w:rsid w:val="00CC7043"/>
    <w:rsid w:val="00CC716A"/>
    <w:rsid w:val="00CC7237"/>
    <w:rsid w:val="00CC73FD"/>
    <w:rsid w:val="00CC74DF"/>
    <w:rsid w:val="00CC7504"/>
    <w:rsid w:val="00CC77E9"/>
    <w:rsid w:val="00CC7A27"/>
    <w:rsid w:val="00CC7D75"/>
    <w:rsid w:val="00CC7EC9"/>
    <w:rsid w:val="00CD0042"/>
    <w:rsid w:val="00CD0231"/>
    <w:rsid w:val="00CD04C8"/>
    <w:rsid w:val="00CD068E"/>
    <w:rsid w:val="00CD06C0"/>
    <w:rsid w:val="00CD06D5"/>
    <w:rsid w:val="00CD07C6"/>
    <w:rsid w:val="00CD0813"/>
    <w:rsid w:val="00CD0B7B"/>
    <w:rsid w:val="00CD0BAB"/>
    <w:rsid w:val="00CD0D9A"/>
    <w:rsid w:val="00CD0E17"/>
    <w:rsid w:val="00CD0F4E"/>
    <w:rsid w:val="00CD0F57"/>
    <w:rsid w:val="00CD0F58"/>
    <w:rsid w:val="00CD1068"/>
    <w:rsid w:val="00CD10DF"/>
    <w:rsid w:val="00CD1177"/>
    <w:rsid w:val="00CD11C8"/>
    <w:rsid w:val="00CD130C"/>
    <w:rsid w:val="00CD13D6"/>
    <w:rsid w:val="00CD142D"/>
    <w:rsid w:val="00CD16ED"/>
    <w:rsid w:val="00CD1803"/>
    <w:rsid w:val="00CD18B1"/>
    <w:rsid w:val="00CD1BA5"/>
    <w:rsid w:val="00CD1CCD"/>
    <w:rsid w:val="00CD2301"/>
    <w:rsid w:val="00CD2626"/>
    <w:rsid w:val="00CD27CF"/>
    <w:rsid w:val="00CD2AF9"/>
    <w:rsid w:val="00CD2B1D"/>
    <w:rsid w:val="00CD3A45"/>
    <w:rsid w:val="00CD3B0C"/>
    <w:rsid w:val="00CD3CFD"/>
    <w:rsid w:val="00CD3F26"/>
    <w:rsid w:val="00CD4192"/>
    <w:rsid w:val="00CD4492"/>
    <w:rsid w:val="00CD44C5"/>
    <w:rsid w:val="00CD48FD"/>
    <w:rsid w:val="00CD4B12"/>
    <w:rsid w:val="00CD4CC0"/>
    <w:rsid w:val="00CD51C6"/>
    <w:rsid w:val="00CD5654"/>
    <w:rsid w:val="00CD56BF"/>
    <w:rsid w:val="00CD59B3"/>
    <w:rsid w:val="00CD5D7A"/>
    <w:rsid w:val="00CD5E49"/>
    <w:rsid w:val="00CD5EAB"/>
    <w:rsid w:val="00CD60A8"/>
    <w:rsid w:val="00CD60F3"/>
    <w:rsid w:val="00CD6344"/>
    <w:rsid w:val="00CD6386"/>
    <w:rsid w:val="00CD6431"/>
    <w:rsid w:val="00CD64B8"/>
    <w:rsid w:val="00CD67E2"/>
    <w:rsid w:val="00CD687E"/>
    <w:rsid w:val="00CD6901"/>
    <w:rsid w:val="00CD6B19"/>
    <w:rsid w:val="00CD6B27"/>
    <w:rsid w:val="00CD6BE6"/>
    <w:rsid w:val="00CD6CC0"/>
    <w:rsid w:val="00CD6DA2"/>
    <w:rsid w:val="00CD6DCF"/>
    <w:rsid w:val="00CD6F56"/>
    <w:rsid w:val="00CD6F5A"/>
    <w:rsid w:val="00CD734D"/>
    <w:rsid w:val="00CD74E2"/>
    <w:rsid w:val="00CD76BA"/>
    <w:rsid w:val="00CD772D"/>
    <w:rsid w:val="00CD780F"/>
    <w:rsid w:val="00CD7BA5"/>
    <w:rsid w:val="00CD7C48"/>
    <w:rsid w:val="00CD7E2E"/>
    <w:rsid w:val="00CE025F"/>
    <w:rsid w:val="00CE042B"/>
    <w:rsid w:val="00CE04AF"/>
    <w:rsid w:val="00CE0557"/>
    <w:rsid w:val="00CE06A4"/>
    <w:rsid w:val="00CE06C7"/>
    <w:rsid w:val="00CE07B7"/>
    <w:rsid w:val="00CE07D8"/>
    <w:rsid w:val="00CE0866"/>
    <w:rsid w:val="00CE0C10"/>
    <w:rsid w:val="00CE0DF0"/>
    <w:rsid w:val="00CE0ECA"/>
    <w:rsid w:val="00CE124F"/>
    <w:rsid w:val="00CE1D43"/>
    <w:rsid w:val="00CE1DCD"/>
    <w:rsid w:val="00CE2027"/>
    <w:rsid w:val="00CE2043"/>
    <w:rsid w:val="00CE2073"/>
    <w:rsid w:val="00CE2467"/>
    <w:rsid w:val="00CE24C4"/>
    <w:rsid w:val="00CE264C"/>
    <w:rsid w:val="00CE2C69"/>
    <w:rsid w:val="00CE2D00"/>
    <w:rsid w:val="00CE2D94"/>
    <w:rsid w:val="00CE3195"/>
    <w:rsid w:val="00CE356C"/>
    <w:rsid w:val="00CE419F"/>
    <w:rsid w:val="00CE4456"/>
    <w:rsid w:val="00CE44B9"/>
    <w:rsid w:val="00CE45B0"/>
    <w:rsid w:val="00CE48D3"/>
    <w:rsid w:val="00CE490E"/>
    <w:rsid w:val="00CE4A35"/>
    <w:rsid w:val="00CE4E68"/>
    <w:rsid w:val="00CE4F57"/>
    <w:rsid w:val="00CE502C"/>
    <w:rsid w:val="00CE53C4"/>
    <w:rsid w:val="00CE54B1"/>
    <w:rsid w:val="00CE54EE"/>
    <w:rsid w:val="00CE563A"/>
    <w:rsid w:val="00CE56D7"/>
    <w:rsid w:val="00CE5759"/>
    <w:rsid w:val="00CE596F"/>
    <w:rsid w:val="00CE5A76"/>
    <w:rsid w:val="00CE5EDB"/>
    <w:rsid w:val="00CE5F76"/>
    <w:rsid w:val="00CE5FB2"/>
    <w:rsid w:val="00CE5FD2"/>
    <w:rsid w:val="00CE62D9"/>
    <w:rsid w:val="00CE634C"/>
    <w:rsid w:val="00CE636D"/>
    <w:rsid w:val="00CE652A"/>
    <w:rsid w:val="00CE65B3"/>
    <w:rsid w:val="00CE66CE"/>
    <w:rsid w:val="00CE6984"/>
    <w:rsid w:val="00CE7381"/>
    <w:rsid w:val="00CE73D1"/>
    <w:rsid w:val="00CE75FE"/>
    <w:rsid w:val="00CE7CD7"/>
    <w:rsid w:val="00CE7F80"/>
    <w:rsid w:val="00CE7FF4"/>
    <w:rsid w:val="00CF0038"/>
    <w:rsid w:val="00CF006E"/>
    <w:rsid w:val="00CF01A1"/>
    <w:rsid w:val="00CF0398"/>
    <w:rsid w:val="00CF03F6"/>
    <w:rsid w:val="00CF0847"/>
    <w:rsid w:val="00CF0CAA"/>
    <w:rsid w:val="00CF0D77"/>
    <w:rsid w:val="00CF0E15"/>
    <w:rsid w:val="00CF0F5A"/>
    <w:rsid w:val="00CF1085"/>
    <w:rsid w:val="00CF1123"/>
    <w:rsid w:val="00CF12A6"/>
    <w:rsid w:val="00CF144F"/>
    <w:rsid w:val="00CF1611"/>
    <w:rsid w:val="00CF1B39"/>
    <w:rsid w:val="00CF1BD0"/>
    <w:rsid w:val="00CF20C6"/>
    <w:rsid w:val="00CF21E2"/>
    <w:rsid w:val="00CF25EA"/>
    <w:rsid w:val="00CF2886"/>
    <w:rsid w:val="00CF2941"/>
    <w:rsid w:val="00CF2BFC"/>
    <w:rsid w:val="00CF2FBB"/>
    <w:rsid w:val="00CF3162"/>
    <w:rsid w:val="00CF3249"/>
    <w:rsid w:val="00CF35F3"/>
    <w:rsid w:val="00CF39CD"/>
    <w:rsid w:val="00CF3C9B"/>
    <w:rsid w:val="00CF3D47"/>
    <w:rsid w:val="00CF3D9F"/>
    <w:rsid w:val="00CF3DAA"/>
    <w:rsid w:val="00CF3E4F"/>
    <w:rsid w:val="00CF3EA0"/>
    <w:rsid w:val="00CF3F31"/>
    <w:rsid w:val="00CF3F4A"/>
    <w:rsid w:val="00CF3FFB"/>
    <w:rsid w:val="00CF402E"/>
    <w:rsid w:val="00CF4183"/>
    <w:rsid w:val="00CF4207"/>
    <w:rsid w:val="00CF422B"/>
    <w:rsid w:val="00CF4545"/>
    <w:rsid w:val="00CF456F"/>
    <w:rsid w:val="00CF4579"/>
    <w:rsid w:val="00CF465A"/>
    <w:rsid w:val="00CF48A5"/>
    <w:rsid w:val="00CF4DAD"/>
    <w:rsid w:val="00CF4E93"/>
    <w:rsid w:val="00CF4EF4"/>
    <w:rsid w:val="00CF4EFC"/>
    <w:rsid w:val="00CF4F06"/>
    <w:rsid w:val="00CF52D3"/>
    <w:rsid w:val="00CF5741"/>
    <w:rsid w:val="00CF5C9A"/>
    <w:rsid w:val="00CF5F13"/>
    <w:rsid w:val="00CF601A"/>
    <w:rsid w:val="00CF6055"/>
    <w:rsid w:val="00CF623A"/>
    <w:rsid w:val="00CF67B8"/>
    <w:rsid w:val="00CF6A5D"/>
    <w:rsid w:val="00CF6B36"/>
    <w:rsid w:val="00CF6DB0"/>
    <w:rsid w:val="00CF7099"/>
    <w:rsid w:val="00CF749F"/>
    <w:rsid w:val="00CF7548"/>
    <w:rsid w:val="00CF7810"/>
    <w:rsid w:val="00CF793C"/>
    <w:rsid w:val="00CF7C15"/>
    <w:rsid w:val="00CF7E09"/>
    <w:rsid w:val="00D0062A"/>
    <w:rsid w:val="00D00880"/>
    <w:rsid w:val="00D00881"/>
    <w:rsid w:val="00D00BC0"/>
    <w:rsid w:val="00D00D1C"/>
    <w:rsid w:val="00D01008"/>
    <w:rsid w:val="00D018FA"/>
    <w:rsid w:val="00D0194D"/>
    <w:rsid w:val="00D01C5A"/>
    <w:rsid w:val="00D021E3"/>
    <w:rsid w:val="00D0231A"/>
    <w:rsid w:val="00D02921"/>
    <w:rsid w:val="00D02AB0"/>
    <w:rsid w:val="00D02AC9"/>
    <w:rsid w:val="00D02CDD"/>
    <w:rsid w:val="00D02DFD"/>
    <w:rsid w:val="00D02E54"/>
    <w:rsid w:val="00D02EE9"/>
    <w:rsid w:val="00D02F19"/>
    <w:rsid w:val="00D0316E"/>
    <w:rsid w:val="00D0324E"/>
    <w:rsid w:val="00D03A2B"/>
    <w:rsid w:val="00D03E07"/>
    <w:rsid w:val="00D03ECE"/>
    <w:rsid w:val="00D03F64"/>
    <w:rsid w:val="00D04060"/>
    <w:rsid w:val="00D040A3"/>
    <w:rsid w:val="00D04458"/>
    <w:rsid w:val="00D0454D"/>
    <w:rsid w:val="00D04707"/>
    <w:rsid w:val="00D047CB"/>
    <w:rsid w:val="00D049DC"/>
    <w:rsid w:val="00D04A69"/>
    <w:rsid w:val="00D04B02"/>
    <w:rsid w:val="00D04B4C"/>
    <w:rsid w:val="00D04B81"/>
    <w:rsid w:val="00D05049"/>
    <w:rsid w:val="00D053FD"/>
    <w:rsid w:val="00D055E4"/>
    <w:rsid w:val="00D0578B"/>
    <w:rsid w:val="00D059BE"/>
    <w:rsid w:val="00D05B96"/>
    <w:rsid w:val="00D05E8D"/>
    <w:rsid w:val="00D05E9E"/>
    <w:rsid w:val="00D06017"/>
    <w:rsid w:val="00D06025"/>
    <w:rsid w:val="00D06306"/>
    <w:rsid w:val="00D0634F"/>
    <w:rsid w:val="00D06413"/>
    <w:rsid w:val="00D06605"/>
    <w:rsid w:val="00D067BF"/>
    <w:rsid w:val="00D06989"/>
    <w:rsid w:val="00D06A32"/>
    <w:rsid w:val="00D06A99"/>
    <w:rsid w:val="00D06B24"/>
    <w:rsid w:val="00D06DDD"/>
    <w:rsid w:val="00D071B7"/>
    <w:rsid w:val="00D0769B"/>
    <w:rsid w:val="00D077E1"/>
    <w:rsid w:val="00D07896"/>
    <w:rsid w:val="00D079B6"/>
    <w:rsid w:val="00D07AE5"/>
    <w:rsid w:val="00D07E36"/>
    <w:rsid w:val="00D10107"/>
    <w:rsid w:val="00D1015F"/>
    <w:rsid w:val="00D102FA"/>
    <w:rsid w:val="00D1062E"/>
    <w:rsid w:val="00D10663"/>
    <w:rsid w:val="00D10BF9"/>
    <w:rsid w:val="00D10C80"/>
    <w:rsid w:val="00D10FEA"/>
    <w:rsid w:val="00D113A5"/>
    <w:rsid w:val="00D1141A"/>
    <w:rsid w:val="00D1171C"/>
    <w:rsid w:val="00D11749"/>
    <w:rsid w:val="00D11B5C"/>
    <w:rsid w:val="00D11C2F"/>
    <w:rsid w:val="00D12852"/>
    <w:rsid w:val="00D129B0"/>
    <w:rsid w:val="00D129C0"/>
    <w:rsid w:val="00D12B5A"/>
    <w:rsid w:val="00D12C49"/>
    <w:rsid w:val="00D12CED"/>
    <w:rsid w:val="00D1346A"/>
    <w:rsid w:val="00D135CA"/>
    <w:rsid w:val="00D13963"/>
    <w:rsid w:val="00D139B2"/>
    <w:rsid w:val="00D13BE7"/>
    <w:rsid w:val="00D13C10"/>
    <w:rsid w:val="00D13CE8"/>
    <w:rsid w:val="00D1436F"/>
    <w:rsid w:val="00D143B3"/>
    <w:rsid w:val="00D1455C"/>
    <w:rsid w:val="00D14806"/>
    <w:rsid w:val="00D14823"/>
    <w:rsid w:val="00D14A97"/>
    <w:rsid w:val="00D14F9F"/>
    <w:rsid w:val="00D1507A"/>
    <w:rsid w:val="00D150A2"/>
    <w:rsid w:val="00D152AC"/>
    <w:rsid w:val="00D154BD"/>
    <w:rsid w:val="00D1551E"/>
    <w:rsid w:val="00D159B2"/>
    <w:rsid w:val="00D15A51"/>
    <w:rsid w:val="00D15CAD"/>
    <w:rsid w:val="00D15D53"/>
    <w:rsid w:val="00D15DF4"/>
    <w:rsid w:val="00D15FA3"/>
    <w:rsid w:val="00D16309"/>
    <w:rsid w:val="00D166E7"/>
    <w:rsid w:val="00D1691C"/>
    <w:rsid w:val="00D16E16"/>
    <w:rsid w:val="00D16F95"/>
    <w:rsid w:val="00D17237"/>
    <w:rsid w:val="00D17294"/>
    <w:rsid w:val="00D17347"/>
    <w:rsid w:val="00D175E5"/>
    <w:rsid w:val="00D176A4"/>
    <w:rsid w:val="00D1778F"/>
    <w:rsid w:val="00D17E1A"/>
    <w:rsid w:val="00D20299"/>
    <w:rsid w:val="00D20303"/>
    <w:rsid w:val="00D2038D"/>
    <w:rsid w:val="00D20A78"/>
    <w:rsid w:val="00D20C88"/>
    <w:rsid w:val="00D20EA1"/>
    <w:rsid w:val="00D20EA3"/>
    <w:rsid w:val="00D210F2"/>
    <w:rsid w:val="00D218C3"/>
    <w:rsid w:val="00D21942"/>
    <w:rsid w:val="00D21B18"/>
    <w:rsid w:val="00D21BC9"/>
    <w:rsid w:val="00D21D12"/>
    <w:rsid w:val="00D21D85"/>
    <w:rsid w:val="00D220AC"/>
    <w:rsid w:val="00D220F5"/>
    <w:rsid w:val="00D22782"/>
    <w:rsid w:val="00D22A48"/>
    <w:rsid w:val="00D22F18"/>
    <w:rsid w:val="00D23133"/>
    <w:rsid w:val="00D23156"/>
    <w:rsid w:val="00D232FF"/>
    <w:rsid w:val="00D2350B"/>
    <w:rsid w:val="00D23644"/>
    <w:rsid w:val="00D23770"/>
    <w:rsid w:val="00D2380A"/>
    <w:rsid w:val="00D23BCE"/>
    <w:rsid w:val="00D23E24"/>
    <w:rsid w:val="00D23F8A"/>
    <w:rsid w:val="00D23FAF"/>
    <w:rsid w:val="00D241B5"/>
    <w:rsid w:val="00D24269"/>
    <w:rsid w:val="00D24322"/>
    <w:rsid w:val="00D24336"/>
    <w:rsid w:val="00D24421"/>
    <w:rsid w:val="00D2480E"/>
    <w:rsid w:val="00D24AF5"/>
    <w:rsid w:val="00D24B32"/>
    <w:rsid w:val="00D24F0A"/>
    <w:rsid w:val="00D2508B"/>
    <w:rsid w:val="00D251B9"/>
    <w:rsid w:val="00D257EA"/>
    <w:rsid w:val="00D25871"/>
    <w:rsid w:val="00D25B5D"/>
    <w:rsid w:val="00D25BE2"/>
    <w:rsid w:val="00D25F1F"/>
    <w:rsid w:val="00D25F2A"/>
    <w:rsid w:val="00D25FC8"/>
    <w:rsid w:val="00D2613E"/>
    <w:rsid w:val="00D26876"/>
    <w:rsid w:val="00D26C53"/>
    <w:rsid w:val="00D26E1B"/>
    <w:rsid w:val="00D26FBC"/>
    <w:rsid w:val="00D272DE"/>
    <w:rsid w:val="00D27782"/>
    <w:rsid w:val="00D27976"/>
    <w:rsid w:val="00D279CC"/>
    <w:rsid w:val="00D27C7D"/>
    <w:rsid w:val="00D3005B"/>
    <w:rsid w:val="00D3012F"/>
    <w:rsid w:val="00D3026D"/>
    <w:rsid w:val="00D304A5"/>
    <w:rsid w:val="00D30690"/>
    <w:rsid w:val="00D308D4"/>
    <w:rsid w:val="00D30959"/>
    <w:rsid w:val="00D30B3B"/>
    <w:rsid w:val="00D30BB0"/>
    <w:rsid w:val="00D30C45"/>
    <w:rsid w:val="00D30CA7"/>
    <w:rsid w:val="00D30D4C"/>
    <w:rsid w:val="00D30E41"/>
    <w:rsid w:val="00D311E4"/>
    <w:rsid w:val="00D31622"/>
    <w:rsid w:val="00D316F5"/>
    <w:rsid w:val="00D31725"/>
    <w:rsid w:val="00D31B91"/>
    <w:rsid w:val="00D31C92"/>
    <w:rsid w:val="00D31F4B"/>
    <w:rsid w:val="00D320AF"/>
    <w:rsid w:val="00D320F0"/>
    <w:rsid w:val="00D322FF"/>
    <w:rsid w:val="00D32F57"/>
    <w:rsid w:val="00D32FA2"/>
    <w:rsid w:val="00D335B2"/>
    <w:rsid w:val="00D3382F"/>
    <w:rsid w:val="00D33844"/>
    <w:rsid w:val="00D33C5E"/>
    <w:rsid w:val="00D33C79"/>
    <w:rsid w:val="00D33DA4"/>
    <w:rsid w:val="00D33E36"/>
    <w:rsid w:val="00D33F5D"/>
    <w:rsid w:val="00D33F8A"/>
    <w:rsid w:val="00D3406D"/>
    <w:rsid w:val="00D344B5"/>
    <w:rsid w:val="00D345BA"/>
    <w:rsid w:val="00D34612"/>
    <w:rsid w:val="00D34A92"/>
    <w:rsid w:val="00D34F64"/>
    <w:rsid w:val="00D34FE1"/>
    <w:rsid w:val="00D3507E"/>
    <w:rsid w:val="00D3512E"/>
    <w:rsid w:val="00D3513F"/>
    <w:rsid w:val="00D35454"/>
    <w:rsid w:val="00D35503"/>
    <w:rsid w:val="00D35567"/>
    <w:rsid w:val="00D3559C"/>
    <w:rsid w:val="00D35675"/>
    <w:rsid w:val="00D356CF"/>
    <w:rsid w:val="00D3580A"/>
    <w:rsid w:val="00D35C05"/>
    <w:rsid w:val="00D35CEC"/>
    <w:rsid w:val="00D36068"/>
    <w:rsid w:val="00D360FB"/>
    <w:rsid w:val="00D36160"/>
    <w:rsid w:val="00D36335"/>
    <w:rsid w:val="00D365DE"/>
    <w:rsid w:val="00D3685C"/>
    <w:rsid w:val="00D368DE"/>
    <w:rsid w:val="00D36D76"/>
    <w:rsid w:val="00D36F7A"/>
    <w:rsid w:val="00D37087"/>
    <w:rsid w:val="00D370DA"/>
    <w:rsid w:val="00D374CE"/>
    <w:rsid w:val="00D37AA3"/>
    <w:rsid w:val="00D37BD6"/>
    <w:rsid w:val="00D40123"/>
    <w:rsid w:val="00D401C3"/>
    <w:rsid w:val="00D4036C"/>
    <w:rsid w:val="00D403ED"/>
    <w:rsid w:val="00D405CC"/>
    <w:rsid w:val="00D40A17"/>
    <w:rsid w:val="00D40B03"/>
    <w:rsid w:val="00D40CE4"/>
    <w:rsid w:val="00D41074"/>
    <w:rsid w:val="00D41361"/>
    <w:rsid w:val="00D418D8"/>
    <w:rsid w:val="00D41AFF"/>
    <w:rsid w:val="00D41BFA"/>
    <w:rsid w:val="00D41DD1"/>
    <w:rsid w:val="00D4210E"/>
    <w:rsid w:val="00D4220B"/>
    <w:rsid w:val="00D42A47"/>
    <w:rsid w:val="00D42A5E"/>
    <w:rsid w:val="00D42E5F"/>
    <w:rsid w:val="00D43076"/>
    <w:rsid w:val="00D43118"/>
    <w:rsid w:val="00D4314B"/>
    <w:rsid w:val="00D4328F"/>
    <w:rsid w:val="00D43F4D"/>
    <w:rsid w:val="00D43F66"/>
    <w:rsid w:val="00D43F9C"/>
    <w:rsid w:val="00D441E0"/>
    <w:rsid w:val="00D444B6"/>
    <w:rsid w:val="00D44578"/>
    <w:rsid w:val="00D445CD"/>
    <w:rsid w:val="00D4478D"/>
    <w:rsid w:val="00D44911"/>
    <w:rsid w:val="00D44A76"/>
    <w:rsid w:val="00D44D71"/>
    <w:rsid w:val="00D44F43"/>
    <w:rsid w:val="00D45189"/>
    <w:rsid w:val="00D45248"/>
    <w:rsid w:val="00D45599"/>
    <w:rsid w:val="00D45AEC"/>
    <w:rsid w:val="00D45B70"/>
    <w:rsid w:val="00D45BDB"/>
    <w:rsid w:val="00D45C6B"/>
    <w:rsid w:val="00D461A3"/>
    <w:rsid w:val="00D4646C"/>
    <w:rsid w:val="00D46675"/>
    <w:rsid w:val="00D46679"/>
    <w:rsid w:val="00D46CBB"/>
    <w:rsid w:val="00D46F28"/>
    <w:rsid w:val="00D470FA"/>
    <w:rsid w:val="00D478E7"/>
    <w:rsid w:val="00D47CD4"/>
    <w:rsid w:val="00D47D37"/>
    <w:rsid w:val="00D47E66"/>
    <w:rsid w:val="00D50359"/>
    <w:rsid w:val="00D50B1C"/>
    <w:rsid w:val="00D50CD2"/>
    <w:rsid w:val="00D50D70"/>
    <w:rsid w:val="00D50EBD"/>
    <w:rsid w:val="00D511AE"/>
    <w:rsid w:val="00D515B1"/>
    <w:rsid w:val="00D515D0"/>
    <w:rsid w:val="00D51682"/>
    <w:rsid w:val="00D51842"/>
    <w:rsid w:val="00D518A7"/>
    <w:rsid w:val="00D51C77"/>
    <w:rsid w:val="00D51D83"/>
    <w:rsid w:val="00D51E7F"/>
    <w:rsid w:val="00D51EBC"/>
    <w:rsid w:val="00D51F11"/>
    <w:rsid w:val="00D5209E"/>
    <w:rsid w:val="00D526AF"/>
    <w:rsid w:val="00D5286A"/>
    <w:rsid w:val="00D52B6D"/>
    <w:rsid w:val="00D52C5A"/>
    <w:rsid w:val="00D52CDA"/>
    <w:rsid w:val="00D52F63"/>
    <w:rsid w:val="00D5324A"/>
    <w:rsid w:val="00D53384"/>
    <w:rsid w:val="00D53B64"/>
    <w:rsid w:val="00D53C00"/>
    <w:rsid w:val="00D53FC8"/>
    <w:rsid w:val="00D54238"/>
    <w:rsid w:val="00D5436A"/>
    <w:rsid w:val="00D544BA"/>
    <w:rsid w:val="00D54784"/>
    <w:rsid w:val="00D547C9"/>
    <w:rsid w:val="00D54969"/>
    <w:rsid w:val="00D549CC"/>
    <w:rsid w:val="00D54A70"/>
    <w:rsid w:val="00D54F5D"/>
    <w:rsid w:val="00D54FD7"/>
    <w:rsid w:val="00D550C3"/>
    <w:rsid w:val="00D551EF"/>
    <w:rsid w:val="00D552B6"/>
    <w:rsid w:val="00D5538E"/>
    <w:rsid w:val="00D5550B"/>
    <w:rsid w:val="00D55C77"/>
    <w:rsid w:val="00D55CB0"/>
    <w:rsid w:val="00D55E92"/>
    <w:rsid w:val="00D55FD9"/>
    <w:rsid w:val="00D5638C"/>
    <w:rsid w:val="00D56468"/>
    <w:rsid w:val="00D564ED"/>
    <w:rsid w:val="00D56BCA"/>
    <w:rsid w:val="00D56D5A"/>
    <w:rsid w:val="00D56D7F"/>
    <w:rsid w:val="00D5711A"/>
    <w:rsid w:val="00D5737F"/>
    <w:rsid w:val="00D574B2"/>
    <w:rsid w:val="00D578E4"/>
    <w:rsid w:val="00D57923"/>
    <w:rsid w:val="00D5794B"/>
    <w:rsid w:val="00D57BEE"/>
    <w:rsid w:val="00D57C23"/>
    <w:rsid w:val="00D57F9C"/>
    <w:rsid w:val="00D600E5"/>
    <w:rsid w:val="00D6023E"/>
    <w:rsid w:val="00D60268"/>
    <w:rsid w:val="00D6047F"/>
    <w:rsid w:val="00D60636"/>
    <w:rsid w:val="00D606F7"/>
    <w:rsid w:val="00D60725"/>
    <w:rsid w:val="00D607F2"/>
    <w:rsid w:val="00D60BA7"/>
    <w:rsid w:val="00D60C1D"/>
    <w:rsid w:val="00D60C6C"/>
    <w:rsid w:val="00D60F45"/>
    <w:rsid w:val="00D60F70"/>
    <w:rsid w:val="00D611DC"/>
    <w:rsid w:val="00D6120B"/>
    <w:rsid w:val="00D61339"/>
    <w:rsid w:val="00D61565"/>
    <w:rsid w:val="00D61576"/>
    <w:rsid w:val="00D61795"/>
    <w:rsid w:val="00D617D8"/>
    <w:rsid w:val="00D61A74"/>
    <w:rsid w:val="00D61A75"/>
    <w:rsid w:val="00D61B94"/>
    <w:rsid w:val="00D61BE3"/>
    <w:rsid w:val="00D623FB"/>
    <w:rsid w:val="00D624DB"/>
    <w:rsid w:val="00D62709"/>
    <w:rsid w:val="00D62DE3"/>
    <w:rsid w:val="00D62F3A"/>
    <w:rsid w:val="00D63BDE"/>
    <w:rsid w:val="00D63C38"/>
    <w:rsid w:val="00D6409D"/>
    <w:rsid w:val="00D640A5"/>
    <w:rsid w:val="00D6427D"/>
    <w:rsid w:val="00D6447E"/>
    <w:rsid w:val="00D64496"/>
    <w:rsid w:val="00D64709"/>
    <w:rsid w:val="00D649B5"/>
    <w:rsid w:val="00D64DAA"/>
    <w:rsid w:val="00D64F13"/>
    <w:rsid w:val="00D64F8B"/>
    <w:rsid w:val="00D65130"/>
    <w:rsid w:val="00D654E7"/>
    <w:rsid w:val="00D65827"/>
    <w:rsid w:val="00D6584D"/>
    <w:rsid w:val="00D658DE"/>
    <w:rsid w:val="00D65C81"/>
    <w:rsid w:val="00D663D9"/>
    <w:rsid w:val="00D66912"/>
    <w:rsid w:val="00D66A80"/>
    <w:rsid w:val="00D673E3"/>
    <w:rsid w:val="00D674FE"/>
    <w:rsid w:val="00D67564"/>
    <w:rsid w:val="00D67C82"/>
    <w:rsid w:val="00D67E6C"/>
    <w:rsid w:val="00D7007B"/>
    <w:rsid w:val="00D700A8"/>
    <w:rsid w:val="00D702AF"/>
    <w:rsid w:val="00D702D2"/>
    <w:rsid w:val="00D705A4"/>
    <w:rsid w:val="00D70D73"/>
    <w:rsid w:val="00D7136A"/>
    <w:rsid w:val="00D716FD"/>
    <w:rsid w:val="00D717EC"/>
    <w:rsid w:val="00D71C56"/>
    <w:rsid w:val="00D72292"/>
    <w:rsid w:val="00D722D7"/>
    <w:rsid w:val="00D728BF"/>
    <w:rsid w:val="00D72EB7"/>
    <w:rsid w:val="00D73373"/>
    <w:rsid w:val="00D736FD"/>
    <w:rsid w:val="00D7387D"/>
    <w:rsid w:val="00D73A0D"/>
    <w:rsid w:val="00D73B31"/>
    <w:rsid w:val="00D73BB8"/>
    <w:rsid w:val="00D73C81"/>
    <w:rsid w:val="00D73CEE"/>
    <w:rsid w:val="00D73D71"/>
    <w:rsid w:val="00D73ED4"/>
    <w:rsid w:val="00D73FE7"/>
    <w:rsid w:val="00D74414"/>
    <w:rsid w:val="00D74469"/>
    <w:rsid w:val="00D74E2B"/>
    <w:rsid w:val="00D74FC7"/>
    <w:rsid w:val="00D756D3"/>
    <w:rsid w:val="00D759D0"/>
    <w:rsid w:val="00D75C7C"/>
    <w:rsid w:val="00D75D50"/>
    <w:rsid w:val="00D75E11"/>
    <w:rsid w:val="00D7602C"/>
    <w:rsid w:val="00D76109"/>
    <w:rsid w:val="00D76826"/>
    <w:rsid w:val="00D77405"/>
    <w:rsid w:val="00D7759E"/>
    <w:rsid w:val="00D77787"/>
    <w:rsid w:val="00D80022"/>
    <w:rsid w:val="00D800B1"/>
    <w:rsid w:val="00D802DC"/>
    <w:rsid w:val="00D80355"/>
    <w:rsid w:val="00D807FF"/>
    <w:rsid w:val="00D80D9C"/>
    <w:rsid w:val="00D80E74"/>
    <w:rsid w:val="00D8126A"/>
    <w:rsid w:val="00D813EB"/>
    <w:rsid w:val="00D81495"/>
    <w:rsid w:val="00D814F3"/>
    <w:rsid w:val="00D815C3"/>
    <w:rsid w:val="00D817C5"/>
    <w:rsid w:val="00D81A53"/>
    <w:rsid w:val="00D81D27"/>
    <w:rsid w:val="00D81E34"/>
    <w:rsid w:val="00D81E4E"/>
    <w:rsid w:val="00D81E5E"/>
    <w:rsid w:val="00D81F9D"/>
    <w:rsid w:val="00D82271"/>
    <w:rsid w:val="00D82733"/>
    <w:rsid w:val="00D827BE"/>
    <w:rsid w:val="00D8284D"/>
    <w:rsid w:val="00D82A04"/>
    <w:rsid w:val="00D82AB5"/>
    <w:rsid w:val="00D82DAE"/>
    <w:rsid w:val="00D82DC1"/>
    <w:rsid w:val="00D82E46"/>
    <w:rsid w:val="00D82F12"/>
    <w:rsid w:val="00D830E9"/>
    <w:rsid w:val="00D836B9"/>
    <w:rsid w:val="00D83881"/>
    <w:rsid w:val="00D839E7"/>
    <w:rsid w:val="00D83A08"/>
    <w:rsid w:val="00D83E40"/>
    <w:rsid w:val="00D846A1"/>
    <w:rsid w:val="00D8492D"/>
    <w:rsid w:val="00D84968"/>
    <w:rsid w:val="00D84987"/>
    <w:rsid w:val="00D849A3"/>
    <w:rsid w:val="00D84A49"/>
    <w:rsid w:val="00D84BBA"/>
    <w:rsid w:val="00D84DC8"/>
    <w:rsid w:val="00D84E1F"/>
    <w:rsid w:val="00D852A7"/>
    <w:rsid w:val="00D8534F"/>
    <w:rsid w:val="00D854E9"/>
    <w:rsid w:val="00D8564B"/>
    <w:rsid w:val="00D8588B"/>
    <w:rsid w:val="00D85A37"/>
    <w:rsid w:val="00D85BCD"/>
    <w:rsid w:val="00D85BD0"/>
    <w:rsid w:val="00D85BF2"/>
    <w:rsid w:val="00D85C33"/>
    <w:rsid w:val="00D85FA1"/>
    <w:rsid w:val="00D86333"/>
    <w:rsid w:val="00D86400"/>
    <w:rsid w:val="00D86410"/>
    <w:rsid w:val="00D8645D"/>
    <w:rsid w:val="00D864C8"/>
    <w:rsid w:val="00D86CF8"/>
    <w:rsid w:val="00D86DA7"/>
    <w:rsid w:val="00D86EB0"/>
    <w:rsid w:val="00D86F9A"/>
    <w:rsid w:val="00D870A6"/>
    <w:rsid w:val="00D87665"/>
    <w:rsid w:val="00D8767F"/>
    <w:rsid w:val="00D877F0"/>
    <w:rsid w:val="00D87971"/>
    <w:rsid w:val="00D87AAF"/>
    <w:rsid w:val="00D87D77"/>
    <w:rsid w:val="00D87E65"/>
    <w:rsid w:val="00D87F68"/>
    <w:rsid w:val="00D900B9"/>
    <w:rsid w:val="00D900FE"/>
    <w:rsid w:val="00D9042E"/>
    <w:rsid w:val="00D9076F"/>
    <w:rsid w:val="00D90D21"/>
    <w:rsid w:val="00D9115F"/>
    <w:rsid w:val="00D91564"/>
    <w:rsid w:val="00D91620"/>
    <w:rsid w:val="00D916F6"/>
    <w:rsid w:val="00D917CE"/>
    <w:rsid w:val="00D918DD"/>
    <w:rsid w:val="00D91CE0"/>
    <w:rsid w:val="00D91DF5"/>
    <w:rsid w:val="00D9215C"/>
    <w:rsid w:val="00D921E0"/>
    <w:rsid w:val="00D92367"/>
    <w:rsid w:val="00D923C2"/>
    <w:rsid w:val="00D92AC4"/>
    <w:rsid w:val="00D92F4D"/>
    <w:rsid w:val="00D92F8A"/>
    <w:rsid w:val="00D93946"/>
    <w:rsid w:val="00D93A43"/>
    <w:rsid w:val="00D93C2B"/>
    <w:rsid w:val="00D93EEA"/>
    <w:rsid w:val="00D9413C"/>
    <w:rsid w:val="00D94149"/>
    <w:rsid w:val="00D9437F"/>
    <w:rsid w:val="00D94476"/>
    <w:rsid w:val="00D94838"/>
    <w:rsid w:val="00D94916"/>
    <w:rsid w:val="00D94D01"/>
    <w:rsid w:val="00D94FAC"/>
    <w:rsid w:val="00D9574A"/>
    <w:rsid w:val="00D957B2"/>
    <w:rsid w:val="00D95941"/>
    <w:rsid w:val="00D95C3B"/>
    <w:rsid w:val="00D95CC4"/>
    <w:rsid w:val="00D95D3E"/>
    <w:rsid w:val="00D95D6C"/>
    <w:rsid w:val="00D95E7E"/>
    <w:rsid w:val="00D960C4"/>
    <w:rsid w:val="00D96113"/>
    <w:rsid w:val="00D962D1"/>
    <w:rsid w:val="00D9633A"/>
    <w:rsid w:val="00D963FB"/>
    <w:rsid w:val="00D96467"/>
    <w:rsid w:val="00D966D8"/>
    <w:rsid w:val="00D96A12"/>
    <w:rsid w:val="00D96F89"/>
    <w:rsid w:val="00D96FC3"/>
    <w:rsid w:val="00D97195"/>
    <w:rsid w:val="00D9758E"/>
    <w:rsid w:val="00D976D3"/>
    <w:rsid w:val="00D976E6"/>
    <w:rsid w:val="00D97800"/>
    <w:rsid w:val="00D97876"/>
    <w:rsid w:val="00D97906"/>
    <w:rsid w:val="00D979BF"/>
    <w:rsid w:val="00D97E33"/>
    <w:rsid w:val="00D97EEE"/>
    <w:rsid w:val="00DA0110"/>
    <w:rsid w:val="00DA0169"/>
    <w:rsid w:val="00DA02A7"/>
    <w:rsid w:val="00DA02EC"/>
    <w:rsid w:val="00DA04EB"/>
    <w:rsid w:val="00DA04F9"/>
    <w:rsid w:val="00DA0DD8"/>
    <w:rsid w:val="00DA0DE0"/>
    <w:rsid w:val="00DA0F74"/>
    <w:rsid w:val="00DA127B"/>
    <w:rsid w:val="00DA14B6"/>
    <w:rsid w:val="00DA1776"/>
    <w:rsid w:val="00DA19E2"/>
    <w:rsid w:val="00DA2048"/>
    <w:rsid w:val="00DA21D5"/>
    <w:rsid w:val="00DA2437"/>
    <w:rsid w:val="00DA265E"/>
    <w:rsid w:val="00DA2686"/>
    <w:rsid w:val="00DA26D8"/>
    <w:rsid w:val="00DA297D"/>
    <w:rsid w:val="00DA2A88"/>
    <w:rsid w:val="00DA330F"/>
    <w:rsid w:val="00DA33E3"/>
    <w:rsid w:val="00DA3401"/>
    <w:rsid w:val="00DA34B7"/>
    <w:rsid w:val="00DA34CB"/>
    <w:rsid w:val="00DA38E5"/>
    <w:rsid w:val="00DA3A3A"/>
    <w:rsid w:val="00DA3A6A"/>
    <w:rsid w:val="00DA3DE0"/>
    <w:rsid w:val="00DA40E0"/>
    <w:rsid w:val="00DA416D"/>
    <w:rsid w:val="00DA43FC"/>
    <w:rsid w:val="00DA46C7"/>
    <w:rsid w:val="00DA46D6"/>
    <w:rsid w:val="00DA4754"/>
    <w:rsid w:val="00DA48AC"/>
    <w:rsid w:val="00DA4915"/>
    <w:rsid w:val="00DA4DBA"/>
    <w:rsid w:val="00DA4EA9"/>
    <w:rsid w:val="00DA5131"/>
    <w:rsid w:val="00DA51EA"/>
    <w:rsid w:val="00DA57B6"/>
    <w:rsid w:val="00DA5B52"/>
    <w:rsid w:val="00DA5EA8"/>
    <w:rsid w:val="00DA60C5"/>
    <w:rsid w:val="00DA63A5"/>
    <w:rsid w:val="00DA677A"/>
    <w:rsid w:val="00DA69C2"/>
    <w:rsid w:val="00DA6A9D"/>
    <w:rsid w:val="00DA6D25"/>
    <w:rsid w:val="00DA6E4E"/>
    <w:rsid w:val="00DA6E8A"/>
    <w:rsid w:val="00DA6F05"/>
    <w:rsid w:val="00DA7056"/>
    <w:rsid w:val="00DA71C2"/>
    <w:rsid w:val="00DA738A"/>
    <w:rsid w:val="00DA7572"/>
    <w:rsid w:val="00DA77D3"/>
    <w:rsid w:val="00DA7BB8"/>
    <w:rsid w:val="00DB0236"/>
    <w:rsid w:val="00DB036F"/>
    <w:rsid w:val="00DB071D"/>
    <w:rsid w:val="00DB0760"/>
    <w:rsid w:val="00DB0773"/>
    <w:rsid w:val="00DB0A23"/>
    <w:rsid w:val="00DB1111"/>
    <w:rsid w:val="00DB11C5"/>
    <w:rsid w:val="00DB161D"/>
    <w:rsid w:val="00DB1930"/>
    <w:rsid w:val="00DB19A6"/>
    <w:rsid w:val="00DB1C23"/>
    <w:rsid w:val="00DB1D5D"/>
    <w:rsid w:val="00DB1D60"/>
    <w:rsid w:val="00DB1FDC"/>
    <w:rsid w:val="00DB20EE"/>
    <w:rsid w:val="00DB20F7"/>
    <w:rsid w:val="00DB2113"/>
    <w:rsid w:val="00DB269A"/>
    <w:rsid w:val="00DB2F20"/>
    <w:rsid w:val="00DB303D"/>
    <w:rsid w:val="00DB311C"/>
    <w:rsid w:val="00DB37A3"/>
    <w:rsid w:val="00DB399C"/>
    <w:rsid w:val="00DB3A67"/>
    <w:rsid w:val="00DB3BC3"/>
    <w:rsid w:val="00DB3D58"/>
    <w:rsid w:val="00DB3E4E"/>
    <w:rsid w:val="00DB3E93"/>
    <w:rsid w:val="00DB44C4"/>
    <w:rsid w:val="00DB46E8"/>
    <w:rsid w:val="00DB47D5"/>
    <w:rsid w:val="00DB49A2"/>
    <w:rsid w:val="00DB49BE"/>
    <w:rsid w:val="00DB4BF0"/>
    <w:rsid w:val="00DB4F60"/>
    <w:rsid w:val="00DB506B"/>
    <w:rsid w:val="00DB520D"/>
    <w:rsid w:val="00DB53D8"/>
    <w:rsid w:val="00DB5650"/>
    <w:rsid w:val="00DB56ED"/>
    <w:rsid w:val="00DB5728"/>
    <w:rsid w:val="00DB582B"/>
    <w:rsid w:val="00DB58DC"/>
    <w:rsid w:val="00DB592F"/>
    <w:rsid w:val="00DB5985"/>
    <w:rsid w:val="00DB5988"/>
    <w:rsid w:val="00DB5A81"/>
    <w:rsid w:val="00DB5B0C"/>
    <w:rsid w:val="00DB5FC5"/>
    <w:rsid w:val="00DB5FF2"/>
    <w:rsid w:val="00DB6106"/>
    <w:rsid w:val="00DB6284"/>
    <w:rsid w:val="00DB6340"/>
    <w:rsid w:val="00DB64ED"/>
    <w:rsid w:val="00DB69ED"/>
    <w:rsid w:val="00DB6AD6"/>
    <w:rsid w:val="00DB6D7D"/>
    <w:rsid w:val="00DB6DD4"/>
    <w:rsid w:val="00DB6E7D"/>
    <w:rsid w:val="00DB7684"/>
    <w:rsid w:val="00DB7861"/>
    <w:rsid w:val="00DB78EC"/>
    <w:rsid w:val="00DB7BE2"/>
    <w:rsid w:val="00DB7C37"/>
    <w:rsid w:val="00DB7CC1"/>
    <w:rsid w:val="00DB7D6F"/>
    <w:rsid w:val="00DB7E29"/>
    <w:rsid w:val="00DB7E2C"/>
    <w:rsid w:val="00DB7FA3"/>
    <w:rsid w:val="00DB7FF6"/>
    <w:rsid w:val="00DC0001"/>
    <w:rsid w:val="00DC0258"/>
    <w:rsid w:val="00DC039F"/>
    <w:rsid w:val="00DC064F"/>
    <w:rsid w:val="00DC06AE"/>
    <w:rsid w:val="00DC0738"/>
    <w:rsid w:val="00DC08A4"/>
    <w:rsid w:val="00DC08C3"/>
    <w:rsid w:val="00DC0C31"/>
    <w:rsid w:val="00DC0D86"/>
    <w:rsid w:val="00DC0E6F"/>
    <w:rsid w:val="00DC0EAF"/>
    <w:rsid w:val="00DC132E"/>
    <w:rsid w:val="00DC1A0F"/>
    <w:rsid w:val="00DC1AC6"/>
    <w:rsid w:val="00DC1C02"/>
    <w:rsid w:val="00DC22AD"/>
    <w:rsid w:val="00DC24D1"/>
    <w:rsid w:val="00DC263F"/>
    <w:rsid w:val="00DC299F"/>
    <w:rsid w:val="00DC2EAB"/>
    <w:rsid w:val="00DC30B3"/>
    <w:rsid w:val="00DC30B9"/>
    <w:rsid w:val="00DC30E7"/>
    <w:rsid w:val="00DC310C"/>
    <w:rsid w:val="00DC351D"/>
    <w:rsid w:val="00DC3648"/>
    <w:rsid w:val="00DC3689"/>
    <w:rsid w:val="00DC371F"/>
    <w:rsid w:val="00DC38F1"/>
    <w:rsid w:val="00DC3942"/>
    <w:rsid w:val="00DC3BE9"/>
    <w:rsid w:val="00DC3D77"/>
    <w:rsid w:val="00DC4249"/>
    <w:rsid w:val="00DC42DB"/>
    <w:rsid w:val="00DC4496"/>
    <w:rsid w:val="00DC44FB"/>
    <w:rsid w:val="00DC47F9"/>
    <w:rsid w:val="00DC4AA2"/>
    <w:rsid w:val="00DC4BAD"/>
    <w:rsid w:val="00DC4E95"/>
    <w:rsid w:val="00DC4F68"/>
    <w:rsid w:val="00DC5131"/>
    <w:rsid w:val="00DC5409"/>
    <w:rsid w:val="00DC546D"/>
    <w:rsid w:val="00DC5635"/>
    <w:rsid w:val="00DC602B"/>
    <w:rsid w:val="00DC61A5"/>
    <w:rsid w:val="00DC6280"/>
    <w:rsid w:val="00DC631B"/>
    <w:rsid w:val="00DC6876"/>
    <w:rsid w:val="00DC6E8C"/>
    <w:rsid w:val="00DC74B8"/>
    <w:rsid w:val="00DC7570"/>
    <w:rsid w:val="00DC7954"/>
    <w:rsid w:val="00DC7D3E"/>
    <w:rsid w:val="00DC7E42"/>
    <w:rsid w:val="00DD01C1"/>
    <w:rsid w:val="00DD0256"/>
    <w:rsid w:val="00DD0346"/>
    <w:rsid w:val="00DD098F"/>
    <w:rsid w:val="00DD0A98"/>
    <w:rsid w:val="00DD0B9F"/>
    <w:rsid w:val="00DD0BCF"/>
    <w:rsid w:val="00DD0F06"/>
    <w:rsid w:val="00DD1263"/>
    <w:rsid w:val="00DD1409"/>
    <w:rsid w:val="00DD1552"/>
    <w:rsid w:val="00DD16F9"/>
    <w:rsid w:val="00DD1AC6"/>
    <w:rsid w:val="00DD1DBC"/>
    <w:rsid w:val="00DD216D"/>
    <w:rsid w:val="00DD241F"/>
    <w:rsid w:val="00DD279A"/>
    <w:rsid w:val="00DD2820"/>
    <w:rsid w:val="00DD28B1"/>
    <w:rsid w:val="00DD2FD3"/>
    <w:rsid w:val="00DD328F"/>
    <w:rsid w:val="00DD3394"/>
    <w:rsid w:val="00DD33D3"/>
    <w:rsid w:val="00DD34A6"/>
    <w:rsid w:val="00DD3699"/>
    <w:rsid w:val="00DD36EC"/>
    <w:rsid w:val="00DD38F3"/>
    <w:rsid w:val="00DD3B26"/>
    <w:rsid w:val="00DD3C8D"/>
    <w:rsid w:val="00DD3FC8"/>
    <w:rsid w:val="00DD406F"/>
    <w:rsid w:val="00DD40C3"/>
    <w:rsid w:val="00DD4219"/>
    <w:rsid w:val="00DD4557"/>
    <w:rsid w:val="00DD4AF1"/>
    <w:rsid w:val="00DD4DDD"/>
    <w:rsid w:val="00DD4FC6"/>
    <w:rsid w:val="00DD5106"/>
    <w:rsid w:val="00DD5654"/>
    <w:rsid w:val="00DD5CC6"/>
    <w:rsid w:val="00DD6013"/>
    <w:rsid w:val="00DD6109"/>
    <w:rsid w:val="00DD61C5"/>
    <w:rsid w:val="00DD63C3"/>
    <w:rsid w:val="00DD6A2C"/>
    <w:rsid w:val="00DD6C67"/>
    <w:rsid w:val="00DD6C87"/>
    <w:rsid w:val="00DD6DC1"/>
    <w:rsid w:val="00DD724C"/>
    <w:rsid w:val="00DD72A5"/>
    <w:rsid w:val="00DD7370"/>
    <w:rsid w:val="00DD79F5"/>
    <w:rsid w:val="00DD7DED"/>
    <w:rsid w:val="00DD7E3B"/>
    <w:rsid w:val="00DD7EA9"/>
    <w:rsid w:val="00DE0072"/>
    <w:rsid w:val="00DE02DE"/>
    <w:rsid w:val="00DE0458"/>
    <w:rsid w:val="00DE0664"/>
    <w:rsid w:val="00DE0842"/>
    <w:rsid w:val="00DE0880"/>
    <w:rsid w:val="00DE088D"/>
    <w:rsid w:val="00DE0AA2"/>
    <w:rsid w:val="00DE172A"/>
    <w:rsid w:val="00DE1790"/>
    <w:rsid w:val="00DE1A2F"/>
    <w:rsid w:val="00DE1AA1"/>
    <w:rsid w:val="00DE1AA4"/>
    <w:rsid w:val="00DE1AB5"/>
    <w:rsid w:val="00DE1B06"/>
    <w:rsid w:val="00DE1B92"/>
    <w:rsid w:val="00DE1C54"/>
    <w:rsid w:val="00DE1D79"/>
    <w:rsid w:val="00DE1DE1"/>
    <w:rsid w:val="00DE22AB"/>
    <w:rsid w:val="00DE233F"/>
    <w:rsid w:val="00DE268B"/>
    <w:rsid w:val="00DE26B6"/>
    <w:rsid w:val="00DE26EA"/>
    <w:rsid w:val="00DE2770"/>
    <w:rsid w:val="00DE29A3"/>
    <w:rsid w:val="00DE2CD0"/>
    <w:rsid w:val="00DE2FD1"/>
    <w:rsid w:val="00DE3175"/>
    <w:rsid w:val="00DE33EE"/>
    <w:rsid w:val="00DE33FE"/>
    <w:rsid w:val="00DE356C"/>
    <w:rsid w:val="00DE382E"/>
    <w:rsid w:val="00DE398E"/>
    <w:rsid w:val="00DE3CA7"/>
    <w:rsid w:val="00DE40B4"/>
    <w:rsid w:val="00DE43EA"/>
    <w:rsid w:val="00DE48EB"/>
    <w:rsid w:val="00DE4CF0"/>
    <w:rsid w:val="00DE4D7D"/>
    <w:rsid w:val="00DE4D8E"/>
    <w:rsid w:val="00DE4E8A"/>
    <w:rsid w:val="00DE4F70"/>
    <w:rsid w:val="00DE537B"/>
    <w:rsid w:val="00DE5833"/>
    <w:rsid w:val="00DE5E55"/>
    <w:rsid w:val="00DE5E9E"/>
    <w:rsid w:val="00DE610F"/>
    <w:rsid w:val="00DE617A"/>
    <w:rsid w:val="00DE6781"/>
    <w:rsid w:val="00DE67A3"/>
    <w:rsid w:val="00DE684E"/>
    <w:rsid w:val="00DE6B66"/>
    <w:rsid w:val="00DE6B8C"/>
    <w:rsid w:val="00DE6BDF"/>
    <w:rsid w:val="00DE6C5F"/>
    <w:rsid w:val="00DE6D65"/>
    <w:rsid w:val="00DE6E50"/>
    <w:rsid w:val="00DE6EB8"/>
    <w:rsid w:val="00DE7065"/>
    <w:rsid w:val="00DE734E"/>
    <w:rsid w:val="00DE751F"/>
    <w:rsid w:val="00DE7734"/>
    <w:rsid w:val="00DE791B"/>
    <w:rsid w:val="00DE79E4"/>
    <w:rsid w:val="00DE7B2E"/>
    <w:rsid w:val="00DE7F28"/>
    <w:rsid w:val="00DF03E0"/>
    <w:rsid w:val="00DF0A26"/>
    <w:rsid w:val="00DF0B29"/>
    <w:rsid w:val="00DF0FC9"/>
    <w:rsid w:val="00DF10B8"/>
    <w:rsid w:val="00DF13CB"/>
    <w:rsid w:val="00DF1485"/>
    <w:rsid w:val="00DF1A5D"/>
    <w:rsid w:val="00DF1AB5"/>
    <w:rsid w:val="00DF1AC0"/>
    <w:rsid w:val="00DF1E56"/>
    <w:rsid w:val="00DF2590"/>
    <w:rsid w:val="00DF2840"/>
    <w:rsid w:val="00DF2883"/>
    <w:rsid w:val="00DF28AA"/>
    <w:rsid w:val="00DF2AE1"/>
    <w:rsid w:val="00DF3006"/>
    <w:rsid w:val="00DF30E9"/>
    <w:rsid w:val="00DF3127"/>
    <w:rsid w:val="00DF3A12"/>
    <w:rsid w:val="00DF3B9E"/>
    <w:rsid w:val="00DF3EB3"/>
    <w:rsid w:val="00DF3FE4"/>
    <w:rsid w:val="00DF413B"/>
    <w:rsid w:val="00DF44AE"/>
    <w:rsid w:val="00DF44E1"/>
    <w:rsid w:val="00DF45A6"/>
    <w:rsid w:val="00DF4673"/>
    <w:rsid w:val="00DF478E"/>
    <w:rsid w:val="00DF47F6"/>
    <w:rsid w:val="00DF481B"/>
    <w:rsid w:val="00DF4DFB"/>
    <w:rsid w:val="00DF4E6F"/>
    <w:rsid w:val="00DF4EB4"/>
    <w:rsid w:val="00DF5087"/>
    <w:rsid w:val="00DF511C"/>
    <w:rsid w:val="00DF5185"/>
    <w:rsid w:val="00DF5331"/>
    <w:rsid w:val="00DF542B"/>
    <w:rsid w:val="00DF5B19"/>
    <w:rsid w:val="00DF5DCB"/>
    <w:rsid w:val="00DF5DF2"/>
    <w:rsid w:val="00DF6101"/>
    <w:rsid w:val="00DF63A0"/>
    <w:rsid w:val="00DF63BE"/>
    <w:rsid w:val="00DF63EF"/>
    <w:rsid w:val="00DF6581"/>
    <w:rsid w:val="00DF66F7"/>
    <w:rsid w:val="00DF685D"/>
    <w:rsid w:val="00DF6B09"/>
    <w:rsid w:val="00DF6B8C"/>
    <w:rsid w:val="00DF6D29"/>
    <w:rsid w:val="00DF6D2B"/>
    <w:rsid w:val="00DF6F66"/>
    <w:rsid w:val="00DF6FEF"/>
    <w:rsid w:val="00DF7179"/>
    <w:rsid w:val="00DF71AA"/>
    <w:rsid w:val="00DF74F9"/>
    <w:rsid w:val="00DF78A7"/>
    <w:rsid w:val="00DF796D"/>
    <w:rsid w:val="00DF7A01"/>
    <w:rsid w:val="00DF7B84"/>
    <w:rsid w:val="00DF7B88"/>
    <w:rsid w:val="00E0005C"/>
    <w:rsid w:val="00E0057D"/>
    <w:rsid w:val="00E00890"/>
    <w:rsid w:val="00E009EB"/>
    <w:rsid w:val="00E009FE"/>
    <w:rsid w:val="00E00C5F"/>
    <w:rsid w:val="00E00D9B"/>
    <w:rsid w:val="00E00E54"/>
    <w:rsid w:val="00E00E81"/>
    <w:rsid w:val="00E01369"/>
    <w:rsid w:val="00E01387"/>
    <w:rsid w:val="00E01776"/>
    <w:rsid w:val="00E0181A"/>
    <w:rsid w:val="00E018AC"/>
    <w:rsid w:val="00E019AF"/>
    <w:rsid w:val="00E01A3E"/>
    <w:rsid w:val="00E01C79"/>
    <w:rsid w:val="00E01CC2"/>
    <w:rsid w:val="00E01D93"/>
    <w:rsid w:val="00E01E95"/>
    <w:rsid w:val="00E01F27"/>
    <w:rsid w:val="00E02177"/>
    <w:rsid w:val="00E021A5"/>
    <w:rsid w:val="00E023B7"/>
    <w:rsid w:val="00E0277E"/>
    <w:rsid w:val="00E0290E"/>
    <w:rsid w:val="00E02B00"/>
    <w:rsid w:val="00E02B53"/>
    <w:rsid w:val="00E02B9E"/>
    <w:rsid w:val="00E02DE8"/>
    <w:rsid w:val="00E03101"/>
    <w:rsid w:val="00E03121"/>
    <w:rsid w:val="00E03124"/>
    <w:rsid w:val="00E034D4"/>
    <w:rsid w:val="00E03512"/>
    <w:rsid w:val="00E03772"/>
    <w:rsid w:val="00E037E8"/>
    <w:rsid w:val="00E0383C"/>
    <w:rsid w:val="00E03A4F"/>
    <w:rsid w:val="00E03A64"/>
    <w:rsid w:val="00E03B55"/>
    <w:rsid w:val="00E03C8A"/>
    <w:rsid w:val="00E03F86"/>
    <w:rsid w:val="00E03F8D"/>
    <w:rsid w:val="00E04305"/>
    <w:rsid w:val="00E04392"/>
    <w:rsid w:val="00E043DE"/>
    <w:rsid w:val="00E044C9"/>
    <w:rsid w:val="00E0458F"/>
    <w:rsid w:val="00E046AC"/>
    <w:rsid w:val="00E0477F"/>
    <w:rsid w:val="00E047EE"/>
    <w:rsid w:val="00E04A1C"/>
    <w:rsid w:val="00E04BF1"/>
    <w:rsid w:val="00E04F8D"/>
    <w:rsid w:val="00E04F95"/>
    <w:rsid w:val="00E04F98"/>
    <w:rsid w:val="00E05219"/>
    <w:rsid w:val="00E053F1"/>
    <w:rsid w:val="00E05423"/>
    <w:rsid w:val="00E055D6"/>
    <w:rsid w:val="00E058C0"/>
    <w:rsid w:val="00E05D4B"/>
    <w:rsid w:val="00E06193"/>
    <w:rsid w:val="00E0654A"/>
    <w:rsid w:val="00E0665D"/>
    <w:rsid w:val="00E066CB"/>
    <w:rsid w:val="00E06741"/>
    <w:rsid w:val="00E06761"/>
    <w:rsid w:val="00E067E7"/>
    <w:rsid w:val="00E068CB"/>
    <w:rsid w:val="00E069E2"/>
    <w:rsid w:val="00E06A1C"/>
    <w:rsid w:val="00E06AA3"/>
    <w:rsid w:val="00E06BDB"/>
    <w:rsid w:val="00E06CBA"/>
    <w:rsid w:val="00E06F42"/>
    <w:rsid w:val="00E07122"/>
    <w:rsid w:val="00E071DB"/>
    <w:rsid w:val="00E07431"/>
    <w:rsid w:val="00E07528"/>
    <w:rsid w:val="00E076A0"/>
    <w:rsid w:val="00E07E5E"/>
    <w:rsid w:val="00E10137"/>
    <w:rsid w:val="00E10475"/>
    <w:rsid w:val="00E105AA"/>
    <w:rsid w:val="00E1077B"/>
    <w:rsid w:val="00E107D1"/>
    <w:rsid w:val="00E1094C"/>
    <w:rsid w:val="00E10B71"/>
    <w:rsid w:val="00E10DB8"/>
    <w:rsid w:val="00E10DCE"/>
    <w:rsid w:val="00E10F7D"/>
    <w:rsid w:val="00E111FC"/>
    <w:rsid w:val="00E12009"/>
    <w:rsid w:val="00E12021"/>
    <w:rsid w:val="00E12363"/>
    <w:rsid w:val="00E12552"/>
    <w:rsid w:val="00E127EA"/>
    <w:rsid w:val="00E12854"/>
    <w:rsid w:val="00E1286A"/>
    <w:rsid w:val="00E12983"/>
    <w:rsid w:val="00E13199"/>
    <w:rsid w:val="00E13308"/>
    <w:rsid w:val="00E139FC"/>
    <w:rsid w:val="00E13A87"/>
    <w:rsid w:val="00E13C76"/>
    <w:rsid w:val="00E13ED8"/>
    <w:rsid w:val="00E13F4F"/>
    <w:rsid w:val="00E1451E"/>
    <w:rsid w:val="00E14526"/>
    <w:rsid w:val="00E146DB"/>
    <w:rsid w:val="00E14722"/>
    <w:rsid w:val="00E1475C"/>
    <w:rsid w:val="00E14890"/>
    <w:rsid w:val="00E148DD"/>
    <w:rsid w:val="00E1497E"/>
    <w:rsid w:val="00E14D3F"/>
    <w:rsid w:val="00E14FBF"/>
    <w:rsid w:val="00E15005"/>
    <w:rsid w:val="00E1502E"/>
    <w:rsid w:val="00E1510B"/>
    <w:rsid w:val="00E15251"/>
    <w:rsid w:val="00E15362"/>
    <w:rsid w:val="00E155D6"/>
    <w:rsid w:val="00E158B6"/>
    <w:rsid w:val="00E15932"/>
    <w:rsid w:val="00E15B78"/>
    <w:rsid w:val="00E15C00"/>
    <w:rsid w:val="00E15CDF"/>
    <w:rsid w:val="00E15CE1"/>
    <w:rsid w:val="00E15E0B"/>
    <w:rsid w:val="00E15F49"/>
    <w:rsid w:val="00E15F4E"/>
    <w:rsid w:val="00E160E1"/>
    <w:rsid w:val="00E16251"/>
    <w:rsid w:val="00E16273"/>
    <w:rsid w:val="00E1654D"/>
    <w:rsid w:val="00E16C33"/>
    <w:rsid w:val="00E17111"/>
    <w:rsid w:val="00E1723E"/>
    <w:rsid w:val="00E1723F"/>
    <w:rsid w:val="00E17488"/>
    <w:rsid w:val="00E174B2"/>
    <w:rsid w:val="00E177B9"/>
    <w:rsid w:val="00E17A34"/>
    <w:rsid w:val="00E17F0B"/>
    <w:rsid w:val="00E17F15"/>
    <w:rsid w:val="00E200B9"/>
    <w:rsid w:val="00E200CA"/>
    <w:rsid w:val="00E202CA"/>
    <w:rsid w:val="00E20544"/>
    <w:rsid w:val="00E20586"/>
    <w:rsid w:val="00E20628"/>
    <w:rsid w:val="00E206AB"/>
    <w:rsid w:val="00E21020"/>
    <w:rsid w:val="00E21033"/>
    <w:rsid w:val="00E21038"/>
    <w:rsid w:val="00E21064"/>
    <w:rsid w:val="00E2110C"/>
    <w:rsid w:val="00E21189"/>
    <w:rsid w:val="00E21862"/>
    <w:rsid w:val="00E21915"/>
    <w:rsid w:val="00E21B9F"/>
    <w:rsid w:val="00E21E24"/>
    <w:rsid w:val="00E21E54"/>
    <w:rsid w:val="00E21E68"/>
    <w:rsid w:val="00E223A9"/>
    <w:rsid w:val="00E22C57"/>
    <w:rsid w:val="00E230A5"/>
    <w:rsid w:val="00E231C6"/>
    <w:rsid w:val="00E231EE"/>
    <w:rsid w:val="00E23200"/>
    <w:rsid w:val="00E232D7"/>
    <w:rsid w:val="00E23359"/>
    <w:rsid w:val="00E236F6"/>
    <w:rsid w:val="00E23994"/>
    <w:rsid w:val="00E23BEC"/>
    <w:rsid w:val="00E23D33"/>
    <w:rsid w:val="00E241A3"/>
    <w:rsid w:val="00E243A6"/>
    <w:rsid w:val="00E2459D"/>
    <w:rsid w:val="00E247B7"/>
    <w:rsid w:val="00E2499F"/>
    <w:rsid w:val="00E24AE7"/>
    <w:rsid w:val="00E24B92"/>
    <w:rsid w:val="00E251E1"/>
    <w:rsid w:val="00E25610"/>
    <w:rsid w:val="00E25A28"/>
    <w:rsid w:val="00E25B93"/>
    <w:rsid w:val="00E25C96"/>
    <w:rsid w:val="00E25D71"/>
    <w:rsid w:val="00E25E95"/>
    <w:rsid w:val="00E260FC"/>
    <w:rsid w:val="00E26768"/>
    <w:rsid w:val="00E26882"/>
    <w:rsid w:val="00E26899"/>
    <w:rsid w:val="00E269E9"/>
    <w:rsid w:val="00E26A78"/>
    <w:rsid w:val="00E26C7A"/>
    <w:rsid w:val="00E270FD"/>
    <w:rsid w:val="00E27220"/>
    <w:rsid w:val="00E27318"/>
    <w:rsid w:val="00E27892"/>
    <w:rsid w:val="00E27DCD"/>
    <w:rsid w:val="00E27DE7"/>
    <w:rsid w:val="00E27F91"/>
    <w:rsid w:val="00E3002D"/>
    <w:rsid w:val="00E30419"/>
    <w:rsid w:val="00E304F3"/>
    <w:rsid w:val="00E305C1"/>
    <w:rsid w:val="00E30BB6"/>
    <w:rsid w:val="00E30C3C"/>
    <w:rsid w:val="00E30D53"/>
    <w:rsid w:val="00E30F7D"/>
    <w:rsid w:val="00E312F3"/>
    <w:rsid w:val="00E3148E"/>
    <w:rsid w:val="00E318BA"/>
    <w:rsid w:val="00E31D6B"/>
    <w:rsid w:val="00E31DA1"/>
    <w:rsid w:val="00E3205C"/>
    <w:rsid w:val="00E32404"/>
    <w:rsid w:val="00E32647"/>
    <w:rsid w:val="00E326DF"/>
    <w:rsid w:val="00E32858"/>
    <w:rsid w:val="00E32A4D"/>
    <w:rsid w:val="00E32BC2"/>
    <w:rsid w:val="00E32CC0"/>
    <w:rsid w:val="00E33284"/>
    <w:rsid w:val="00E332F3"/>
    <w:rsid w:val="00E3330C"/>
    <w:rsid w:val="00E3357B"/>
    <w:rsid w:val="00E339D2"/>
    <w:rsid w:val="00E33AB5"/>
    <w:rsid w:val="00E33D58"/>
    <w:rsid w:val="00E33DA9"/>
    <w:rsid w:val="00E33E03"/>
    <w:rsid w:val="00E33EEC"/>
    <w:rsid w:val="00E34081"/>
    <w:rsid w:val="00E340A3"/>
    <w:rsid w:val="00E342AB"/>
    <w:rsid w:val="00E345B2"/>
    <w:rsid w:val="00E34848"/>
    <w:rsid w:val="00E3487C"/>
    <w:rsid w:val="00E349CC"/>
    <w:rsid w:val="00E34AEC"/>
    <w:rsid w:val="00E34C88"/>
    <w:rsid w:val="00E3527D"/>
    <w:rsid w:val="00E353CA"/>
    <w:rsid w:val="00E35496"/>
    <w:rsid w:val="00E35F92"/>
    <w:rsid w:val="00E360D2"/>
    <w:rsid w:val="00E36248"/>
    <w:rsid w:val="00E3625F"/>
    <w:rsid w:val="00E3649B"/>
    <w:rsid w:val="00E367C8"/>
    <w:rsid w:val="00E367DF"/>
    <w:rsid w:val="00E368CF"/>
    <w:rsid w:val="00E369F9"/>
    <w:rsid w:val="00E36CA1"/>
    <w:rsid w:val="00E36D12"/>
    <w:rsid w:val="00E36DDE"/>
    <w:rsid w:val="00E370AD"/>
    <w:rsid w:val="00E37369"/>
    <w:rsid w:val="00E3738E"/>
    <w:rsid w:val="00E376E7"/>
    <w:rsid w:val="00E37FA1"/>
    <w:rsid w:val="00E400DE"/>
    <w:rsid w:val="00E401CE"/>
    <w:rsid w:val="00E40776"/>
    <w:rsid w:val="00E40826"/>
    <w:rsid w:val="00E40993"/>
    <w:rsid w:val="00E40B1B"/>
    <w:rsid w:val="00E40BF4"/>
    <w:rsid w:val="00E40BF7"/>
    <w:rsid w:val="00E40D9A"/>
    <w:rsid w:val="00E41049"/>
    <w:rsid w:val="00E41128"/>
    <w:rsid w:val="00E41270"/>
    <w:rsid w:val="00E41282"/>
    <w:rsid w:val="00E4129E"/>
    <w:rsid w:val="00E414F9"/>
    <w:rsid w:val="00E4151F"/>
    <w:rsid w:val="00E4153D"/>
    <w:rsid w:val="00E416FE"/>
    <w:rsid w:val="00E4191D"/>
    <w:rsid w:val="00E41B9D"/>
    <w:rsid w:val="00E42149"/>
    <w:rsid w:val="00E42500"/>
    <w:rsid w:val="00E4256E"/>
    <w:rsid w:val="00E428D7"/>
    <w:rsid w:val="00E42FEE"/>
    <w:rsid w:val="00E4356B"/>
    <w:rsid w:val="00E44417"/>
    <w:rsid w:val="00E444AF"/>
    <w:rsid w:val="00E444DD"/>
    <w:rsid w:val="00E44532"/>
    <w:rsid w:val="00E4467F"/>
    <w:rsid w:val="00E446A3"/>
    <w:rsid w:val="00E4491B"/>
    <w:rsid w:val="00E44A6C"/>
    <w:rsid w:val="00E44C1C"/>
    <w:rsid w:val="00E44D4E"/>
    <w:rsid w:val="00E4501F"/>
    <w:rsid w:val="00E45089"/>
    <w:rsid w:val="00E454E5"/>
    <w:rsid w:val="00E45A4C"/>
    <w:rsid w:val="00E45CDD"/>
    <w:rsid w:val="00E45EF7"/>
    <w:rsid w:val="00E460A6"/>
    <w:rsid w:val="00E4619B"/>
    <w:rsid w:val="00E4651C"/>
    <w:rsid w:val="00E46775"/>
    <w:rsid w:val="00E46C9F"/>
    <w:rsid w:val="00E46F87"/>
    <w:rsid w:val="00E47644"/>
    <w:rsid w:val="00E47A4B"/>
    <w:rsid w:val="00E47F9D"/>
    <w:rsid w:val="00E50036"/>
    <w:rsid w:val="00E50246"/>
    <w:rsid w:val="00E50529"/>
    <w:rsid w:val="00E507FB"/>
    <w:rsid w:val="00E50A89"/>
    <w:rsid w:val="00E50E52"/>
    <w:rsid w:val="00E511F1"/>
    <w:rsid w:val="00E518F7"/>
    <w:rsid w:val="00E51BBD"/>
    <w:rsid w:val="00E51C91"/>
    <w:rsid w:val="00E51DC2"/>
    <w:rsid w:val="00E51E67"/>
    <w:rsid w:val="00E51E8E"/>
    <w:rsid w:val="00E521F9"/>
    <w:rsid w:val="00E5234D"/>
    <w:rsid w:val="00E527ED"/>
    <w:rsid w:val="00E52943"/>
    <w:rsid w:val="00E52E3F"/>
    <w:rsid w:val="00E52EAE"/>
    <w:rsid w:val="00E52F17"/>
    <w:rsid w:val="00E52F72"/>
    <w:rsid w:val="00E5315B"/>
    <w:rsid w:val="00E53295"/>
    <w:rsid w:val="00E5375C"/>
    <w:rsid w:val="00E53945"/>
    <w:rsid w:val="00E53F93"/>
    <w:rsid w:val="00E54441"/>
    <w:rsid w:val="00E54637"/>
    <w:rsid w:val="00E54C34"/>
    <w:rsid w:val="00E54E2B"/>
    <w:rsid w:val="00E54F7C"/>
    <w:rsid w:val="00E54F9F"/>
    <w:rsid w:val="00E55124"/>
    <w:rsid w:val="00E5513A"/>
    <w:rsid w:val="00E552C8"/>
    <w:rsid w:val="00E5589F"/>
    <w:rsid w:val="00E558CB"/>
    <w:rsid w:val="00E55992"/>
    <w:rsid w:val="00E559BB"/>
    <w:rsid w:val="00E55C93"/>
    <w:rsid w:val="00E55D4A"/>
    <w:rsid w:val="00E55D86"/>
    <w:rsid w:val="00E55E5C"/>
    <w:rsid w:val="00E5602F"/>
    <w:rsid w:val="00E56107"/>
    <w:rsid w:val="00E561A3"/>
    <w:rsid w:val="00E564BC"/>
    <w:rsid w:val="00E56775"/>
    <w:rsid w:val="00E5684E"/>
    <w:rsid w:val="00E56B6C"/>
    <w:rsid w:val="00E56B9F"/>
    <w:rsid w:val="00E56BCF"/>
    <w:rsid w:val="00E56CCE"/>
    <w:rsid w:val="00E56EA7"/>
    <w:rsid w:val="00E57520"/>
    <w:rsid w:val="00E57686"/>
    <w:rsid w:val="00E57958"/>
    <w:rsid w:val="00E57DB6"/>
    <w:rsid w:val="00E57E64"/>
    <w:rsid w:val="00E57F4E"/>
    <w:rsid w:val="00E6005B"/>
    <w:rsid w:val="00E60251"/>
    <w:rsid w:val="00E6054E"/>
    <w:rsid w:val="00E607E1"/>
    <w:rsid w:val="00E60847"/>
    <w:rsid w:val="00E60A7C"/>
    <w:rsid w:val="00E60B97"/>
    <w:rsid w:val="00E60DFC"/>
    <w:rsid w:val="00E60EF5"/>
    <w:rsid w:val="00E61016"/>
    <w:rsid w:val="00E61507"/>
    <w:rsid w:val="00E61881"/>
    <w:rsid w:val="00E61956"/>
    <w:rsid w:val="00E61B89"/>
    <w:rsid w:val="00E61C46"/>
    <w:rsid w:val="00E61FF9"/>
    <w:rsid w:val="00E62211"/>
    <w:rsid w:val="00E6228B"/>
    <w:rsid w:val="00E6252F"/>
    <w:rsid w:val="00E62632"/>
    <w:rsid w:val="00E62707"/>
    <w:rsid w:val="00E62758"/>
    <w:rsid w:val="00E62A42"/>
    <w:rsid w:val="00E62D37"/>
    <w:rsid w:val="00E62EA4"/>
    <w:rsid w:val="00E62EC3"/>
    <w:rsid w:val="00E62F37"/>
    <w:rsid w:val="00E62F70"/>
    <w:rsid w:val="00E62FD0"/>
    <w:rsid w:val="00E634DC"/>
    <w:rsid w:val="00E635AF"/>
    <w:rsid w:val="00E636F8"/>
    <w:rsid w:val="00E63A40"/>
    <w:rsid w:val="00E63BDF"/>
    <w:rsid w:val="00E63C0F"/>
    <w:rsid w:val="00E63E05"/>
    <w:rsid w:val="00E63F85"/>
    <w:rsid w:val="00E644ED"/>
    <w:rsid w:val="00E649B5"/>
    <w:rsid w:val="00E64BEE"/>
    <w:rsid w:val="00E64FE2"/>
    <w:rsid w:val="00E6518A"/>
    <w:rsid w:val="00E654F8"/>
    <w:rsid w:val="00E6597E"/>
    <w:rsid w:val="00E65DD6"/>
    <w:rsid w:val="00E65FA4"/>
    <w:rsid w:val="00E66068"/>
    <w:rsid w:val="00E66494"/>
    <w:rsid w:val="00E66525"/>
    <w:rsid w:val="00E666DE"/>
    <w:rsid w:val="00E66D58"/>
    <w:rsid w:val="00E66EB1"/>
    <w:rsid w:val="00E6707E"/>
    <w:rsid w:val="00E671F5"/>
    <w:rsid w:val="00E67498"/>
    <w:rsid w:val="00E67622"/>
    <w:rsid w:val="00E67CF2"/>
    <w:rsid w:val="00E67D85"/>
    <w:rsid w:val="00E67DDB"/>
    <w:rsid w:val="00E70063"/>
    <w:rsid w:val="00E702C4"/>
    <w:rsid w:val="00E703F1"/>
    <w:rsid w:val="00E70592"/>
    <w:rsid w:val="00E7071D"/>
    <w:rsid w:val="00E709C6"/>
    <w:rsid w:val="00E70ABD"/>
    <w:rsid w:val="00E70E13"/>
    <w:rsid w:val="00E71030"/>
    <w:rsid w:val="00E7110A"/>
    <w:rsid w:val="00E7111D"/>
    <w:rsid w:val="00E71148"/>
    <w:rsid w:val="00E7121B"/>
    <w:rsid w:val="00E7125F"/>
    <w:rsid w:val="00E7162B"/>
    <w:rsid w:val="00E716D9"/>
    <w:rsid w:val="00E718FC"/>
    <w:rsid w:val="00E719A6"/>
    <w:rsid w:val="00E71A19"/>
    <w:rsid w:val="00E71DF0"/>
    <w:rsid w:val="00E71F33"/>
    <w:rsid w:val="00E72075"/>
    <w:rsid w:val="00E72924"/>
    <w:rsid w:val="00E7294D"/>
    <w:rsid w:val="00E72C3C"/>
    <w:rsid w:val="00E72D8B"/>
    <w:rsid w:val="00E7322D"/>
    <w:rsid w:val="00E734EA"/>
    <w:rsid w:val="00E7362C"/>
    <w:rsid w:val="00E73733"/>
    <w:rsid w:val="00E7395E"/>
    <w:rsid w:val="00E73A62"/>
    <w:rsid w:val="00E73C9C"/>
    <w:rsid w:val="00E74025"/>
    <w:rsid w:val="00E7409A"/>
    <w:rsid w:val="00E741C8"/>
    <w:rsid w:val="00E742A7"/>
    <w:rsid w:val="00E7473E"/>
    <w:rsid w:val="00E747E3"/>
    <w:rsid w:val="00E74945"/>
    <w:rsid w:val="00E74BB5"/>
    <w:rsid w:val="00E75165"/>
    <w:rsid w:val="00E755EC"/>
    <w:rsid w:val="00E7575A"/>
    <w:rsid w:val="00E757CC"/>
    <w:rsid w:val="00E75B36"/>
    <w:rsid w:val="00E75D4C"/>
    <w:rsid w:val="00E760E2"/>
    <w:rsid w:val="00E764DB"/>
    <w:rsid w:val="00E76862"/>
    <w:rsid w:val="00E76E45"/>
    <w:rsid w:val="00E77396"/>
    <w:rsid w:val="00E77424"/>
    <w:rsid w:val="00E778BE"/>
    <w:rsid w:val="00E779E8"/>
    <w:rsid w:val="00E77D56"/>
    <w:rsid w:val="00E8010B"/>
    <w:rsid w:val="00E80129"/>
    <w:rsid w:val="00E802B7"/>
    <w:rsid w:val="00E8034C"/>
    <w:rsid w:val="00E8057E"/>
    <w:rsid w:val="00E80582"/>
    <w:rsid w:val="00E80585"/>
    <w:rsid w:val="00E80969"/>
    <w:rsid w:val="00E80A5D"/>
    <w:rsid w:val="00E80D85"/>
    <w:rsid w:val="00E80F01"/>
    <w:rsid w:val="00E80F70"/>
    <w:rsid w:val="00E8105C"/>
    <w:rsid w:val="00E811D1"/>
    <w:rsid w:val="00E812FF"/>
    <w:rsid w:val="00E81A3E"/>
    <w:rsid w:val="00E81EC1"/>
    <w:rsid w:val="00E822AF"/>
    <w:rsid w:val="00E82374"/>
    <w:rsid w:val="00E8249A"/>
    <w:rsid w:val="00E82749"/>
    <w:rsid w:val="00E82C62"/>
    <w:rsid w:val="00E82D9D"/>
    <w:rsid w:val="00E82EDF"/>
    <w:rsid w:val="00E8300C"/>
    <w:rsid w:val="00E830EA"/>
    <w:rsid w:val="00E831E6"/>
    <w:rsid w:val="00E83221"/>
    <w:rsid w:val="00E83268"/>
    <w:rsid w:val="00E8332F"/>
    <w:rsid w:val="00E83345"/>
    <w:rsid w:val="00E83888"/>
    <w:rsid w:val="00E83C71"/>
    <w:rsid w:val="00E83E98"/>
    <w:rsid w:val="00E83F17"/>
    <w:rsid w:val="00E84369"/>
    <w:rsid w:val="00E84387"/>
    <w:rsid w:val="00E84819"/>
    <w:rsid w:val="00E84826"/>
    <w:rsid w:val="00E849A2"/>
    <w:rsid w:val="00E854DE"/>
    <w:rsid w:val="00E85676"/>
    <w:rsid w:val="00E85887"/>
    <w:rsid w:val="00E858EC"/>
    <w:rsid w:val="00E85904"/>
    <w:rsid w:val="00E85C14"/>
    <w:rsid w:val="00E86189"/>
    <w:rsid w:val="00E86571"/>
    <w:rsid w:val="00E86658"/>
    <w:rsid w:val="00E86845"/>
    <w:rsid w:val="00E86905"/>
    <w:rsid w:val="00E86A48"/>
    <w:rsid w:val="00E86A6B"/>
    <w:rsid w:val="00E86F8C"/>
    <w:rsid w:val="00E87179"/>
    <w:rsid w:val="00E871C2"/>
    <w:rsid w:val="00E87364"/>
    <w:rsid w:val="00E8743C"/>
    <w:rsid w:val="00E87517"/>
    <w:rsid w:val="00E876DB"/>
    <w:rsid w:val="00E877D9"/>
    <w:rsid w:val="00E87852"/>
    <w:rsid w:val="00E878FA"/>
    <w:rsid w:val="00E879E1"/>
    <w:rsid w:val="00E87B7E"/>
    <w:rsid w:val="00E87BD2"/>
    <w:rsid w:val="00E87F00"/>
    <w:rsid w:val="00E87FBB"/>
    <w:rsid w:val="00E9004C"/>
    <w:rsid w:val="00E9020A"/>
    <w:rsid w:val="00E90219"/>
    <w:rsid w:val="00E906CD"/>
    <w:rsid w:val="00E908F4"/>
    <w:rsid w:val="00E90E3E"/>
    <w:rsid w:val="00E912C0"/>
    <w:rsid w:val="00E91472"/>
    <w:rsid w:val="00E914AA"/>
    <w:rsid w:val="00E91851"/>
    <w:rsid w:val="00E9198E"/>
    <w:rsid w:val="00E91CB0"/>
    <w:rsid w:val="00E920C2"/>
    <w:rsid w:val="00E92125"/>
    <w:rsid w:val="00E92175"/>
    <w:rsid w:val="00E927F1"/>
    <w:rsid w:val="00E929DF"/>
    <w:rsid w:val="00E92C0F"/>
    <w:rsid w:val="00E92C32"/>
    <w:rsid w:val="00E93144"/>
    <w:rsid w:val="00E93181"/>
    <w:rsid w:val="00E93245"/>
    <w:rsid w:val="00E933AA"/>
    <w:rsid w:val="00E936C4"/>
    <w:rsid w:val="00E93990"/>
    <w:rsid w:val="00E93D0C"/>
    <w:rsid w:val="00E93E6B"/>
    <w:rsid w:val="00E93F5D"/>
    <w:rsid w:val="00E9446E"/>
    <w:rsid w:val="00E94882"/>
    <w:rsid w:val="00E94BA4"/>
    <w:rsid w:val="00E94D52"/>
    <w:rsid w:val="00E94E76"/>
    <w:rsid w:val="00E95183"/>
    <w:rsid w:val="00E95672"/>
    <w:rsid w:val="00E95957"/>
    <w:rsid w:val="00E95B04"/>
    <w:rsid w:val="00E95BB3"/>
    <w:rsid w:val="00E95DE1"/>
    <w:rsid w:val="00E95FB0"/>
    <w:rsid w:val="00E96148"/>
    <w:rsid w:val="00E96174"/>
    <w:rsid w:val="00E962C5"/>
    <w:rsid w:val="00E965CD"/>
    <w:rsid w:val="00E968E1"/>
    <w:rsid w:val="00E9691F"/>
    <w:rsid w:val="00E96928"/>
    <w:rsid w:val="00E96CB6"/>
    <w:rsid w:val="00E96EBF"/>
    <w:rsid w:val="00E96EC6"/>
    <w:rsid w:val="00E96F32"/>
    <w:rsid w:val="00E970E9"/>
    <w:rsid w:val="00E971E6"/>
    <w:rsid w:val="00E97249"/>
    <w:rsid w:val="00E976FE"/>
    <w:rsid w:val="00E979EE"/>
    <w:rsid w:val="00E97C34"/>
    <w:rsid w:val="00E97D33"/>
    <w:rsid w:val="00EA0067"/>
    <w:rsid w:val="00EA02F1"/>
    <w:rsid w:val="00EA06BF"/>
    <w:rsid w:val="00EA06E7"/>
    <w:rsid w:val="00EA0792"/>
    <w:rsid w:val="00EA09BA"/>
    <w:rsid w:val="00EA0AE9"/>
    <w:rsid w:val="00EA1170"/>
    <w:rsid w:val="00EA17A0"/>
    <w:rsid w:val="00EA1979"/>
    <w:rsid w:val="00EA1ACE"/>
    <w:rsid w:val="00EA1C41"/>
    <w:rsid w:val="00EA1C87"/>
    <w:rsid w:val="00EA1E1F"/>
    <w:rsid w:val="00EA2081"/>
    <w:rsid w:val="00EA2509"/>
    <w:rsid w:val="00EA2891"/>
    <w:rsid w:val="00EA2931"/>
    <w:rsid w:val="00EA2AA2"/>
    <w:rsid w:val="00EA2C61"/>
    <w:rsid w:val="00EA2E05"/>
    <w:rsid w:val="00EA2E28"/>
    <w:rsid w:val="00EA3205"/>
    <w:rsid w:val="00EA323E"/>
    <w:rsid w:val="00EA34A2"/>
    <w:rsid w:val="00EA34F5"/>
    <w:rsid w:val="00EA38DD"/>
    <w:rsid w:val="00EA3A79"/>
    <w:rsid w:val="00EA3B2B"/>
    <w:rsid w:val="00EA3BCE"/>
    <w:rsid w:val="00EA40B2"/>
    <w:rsid w:val="00EA40C9"/>
    <w:rsid w:val="00EA4308"/>
    <w:rsid w:val="00EA44D8"/>
    <w:rsid w:val="00EA4643"/>
    <w:rsid w:val="00EA48A0"/>
    <w:rsid w:val="00EA48C4"/>
    <w:rsid w:val="00EA49F6"/>
    <w:rsid w:val="00EA4A16"/>
    <w:rsid w:val="00EA4BAC"/>
    <w:rsid w:val="00EA4DF1"/>
    <w:rsid w:val="00EA50CD"/>
    <w:rsid w:val="00EA5109"/>
    <w:rsid w:val="00EA53B8"/>
    <w:rsid w:val="00EA5626"/>
    <w:rsid w:val="00EA56DB"/>
    <w:rsid w:val="00EA57CE"/>
    <w:rsid w:val="00EA5A16"/>
    <w:rsid w:val="00EA5B33"/>
    <w:rsid w:val="00EA5C7B"/>
    <w:rsid w:val="00EA5CA1"/>
    <w:rsid w:val="00EA5CB7"/>
    <w:rsid w:val="00EA5E7C"/>
    <w:rsid w:val="00EA60A3"/>
    <w:rsid w:val="00EA60F5"/>
    <w:rsid w:val="00EA6120"/>
    <w:rsid w:val="00EA6149"/>
    <w:rsid w:val="00EA63EB"/>
    <w:rsid w:val="00EA6482"/>
    <w:rsid w:val="00EA66D3"/>
    <w:rsid w:val="00EA69FD"/>
    <w:rsid w:val="00EA6A3E"/>
    <w:rsid w:val="00EA6B65"/>
    <w:rsid w:val="00EA6B86"/>
    <w:rsid w:val="00EA71E9"/>
    <w:rsid w:val="00EA787C"/>
    <w:rsid w:val="00EA7DD2"/>
    <w:rsid w:val="00EA7EC8"/>
    <w:rsid w:val="00EB00DF"/>
    <w:rsid w:val="00EB0149"/>
    <w:rsid w:val="00EB0701"/>
    <w:rsid w:val="00EB08CC"/>
    <w:rsid w:val="00EB0D7B"/>
    <w:rsid w:val="00EB0DF7"/>
    <w:rsid w:val="00EB0F26"/>
    <w:rsid w:val="00EB0FEA"/>
    <w:rsid w:val="00EB0FF0"/>
    <w:rsid w:val="00EB1067"/>
    <w:rsid w:val="00EB1074"/>
    <w:rsid w:val="00EB12EC"/>
    <w:rsid w:val="00EB13B3"/>
    <w:rsid w:val="00EB14B2"/>
    <w:rsid w:val="00EB14B6"/>
    <w:rsid w:val="00EB15C2"/>
    <w:rsid w:val="00EB17AE"/>
    <w:rsid w:val="00EB1934"/>
    <w:rsid w:val="00EB1BB1"/>
    <w:rsid w:val="00EB1D2C"/>
    <w:rsid w:val="00EB1D7F"/>
    <w:rsid w:val="00EB2020"/>
    <w:rsid w:val="00EB20E8"/>
    <w:rsid w:val="00EB221D"/>
    <w:rsid w:val="00EB2490"/>
    <w:rsid w:val="00EB269B"/>
    <w:rsid w:val="00EB277A"/>
    <w:rsid w:val="00EB2A22"/>
    <w:rsid w:val="00EB2B41"/>
    <w:rsid w:val="00EB2EEB"/>
    <w:rsid w:val="00EB309D"/>
    <w:rsid w:val="00EB3200"/>
    <w:rsid w:val="00EB3204"/>
    <w:rsid w:val="00EB381C"/>
    <w:rsid w:val="00EB3CAE"/>
    <w:rsid w:val="00EB3DD3"/>
    <w:rsid w:val="00EB3E6C"/>
    <w:rsid w:val="00EB3FD2"/>
    <w:rsid w:val="00EB4059"/>
    <w:rsid w:val="00EB4153"/>
    <w:rsid w:val="00EB41A8"/>
    <w:rsid w:val="00EB4563"/>
    <w:rsid w:val="00EB4BB5"/>
    <w:rsid w:val="00EB4D17"/>
    <w:rsid w:val="00EB4D52"/>
    <w:rsid w:val="00EB4F30"/>
    <w:rsid w:val="00EB4F68"/>
    <w:rsid w:val="00EB5047"/>
    <w:rsid w:val="00EB50BD"/>
    <w:rsid w:val="00EB50EA"/>
    <w:rsid w:val="00EB5385"/>
    <w:rsid w:val="00EB53C6"/>
    <w:rsid w:val="00EB548A"/>
    <w:rsid w:val="00EB56A9"/>
    <w:rsid w:val="00EB582F"/>
    <w:rsid w:val="00EB5D29"/>
    <w:rsid w:val="00EB601C"/>
    <w:rsid w:val="00EB617E"/>
    <w:rsid w:val="00EB6874"/>
    <w:rsid w:val="00EB6976"/>
    <w:rsid w:val="00EB6D09"/>
    <w:rsid w:val="00EB6E10"/>
    <w:rsid w:val="00EB7072"/>
    <w:rsid w:val="00EB7152"/>
    <w:rsid w:val="00EB7489"/>
    <w:rsid w:val="00EB757C"/>
    <w:rsid w:val="00EB7689"/>
    <w:rsid w:val="00EB78D8"/>
    <w:rsid w:val="00EB7A72"/>
    <w:rsid w:val="00EB7E2C"/>
    <w:rsid w:val="00EB7F5D"/>
    <w:rsid w:val="00EC001D"/>
    <w:rsid w:val="00EC03B5"/>
    <w:rsid w:val="00EC057C"/>
    <w:rsid w:val="00EC058E"/>
    <w:rsid w:val="00EC063D"/>
    <w:rsid w:val="00EC099E"/>
    <w:rsid w:val="00EC0F7B"/>
    <w:rsid w:val="00EC0F94"/>
    <w:rsid w:val="00EC1104"/>
    <w:rsid w:val="00EC1449"/>
    <w:rsid w:val="00EC15CA"/>
    <w:rsid w:val="00EC162F"/>
    <w:rsid w:val="00EC196B"/>
    <w:rsid w:val="00EC1989"/>
    <w:rsid w:val="00EC19B4"/>
    <w:rsid w:val="00EC1A23"/>
    <w:rsid w:val="00EC1AEA"/>
    <w:rsid w:val="00EC1F4D"/>
    <w:rsid w:val="00EC23E0"/>
    <w:rsid w:val="00EC2C87"/>
    <w:rsid w:val="00EC2D7C"/>
    <w:rsid w:val="00EC2FBD"/>
    <w:rsid w:val="00EC31DE"/>
    <w:rsid w:val="00EC31EC"/>
    <w:rsid w:val="00EC3889"/>
    <w:rsid w:val="00EC3A23"/>
    <w:rsid w:val="00EC3A55"/>
    <w:rsid w:val="00EC3C13"/>
    <w:rsid w:val="00EC3C1F"/>
    <w:rsid w:val="00EC3E43"/>
    <w:rsid w:val="00EC412D"/>
    <w:rsid w:val="00EC46F2"/>
    <w:rsid w:val="00EC4C20"/>
    <w:rsid w:val="00EC4CA1"/>
    <w:rsid w:val="00EC5222"/>
    <w:rsid w:val="00EC5501"/>
    <w:rsid w:val="00EC5715"/>
    <w:rsid w:val="00EC59B4"/>
    <w:rsid w:val="00EC5C4F"/>
    <w:rsid w:val="00EC5EAB"/>
    <w:rsid w:val="00EC5EEB"/>
    <w:rsid w:val="00EC6191"/>
    <w:rsid w:val="00EC64F3"/>
    <w:rsid w:val="00EC667B"/>
    <w:rsid w:val="00EC67D2"/>
    <w:rsid w:val="00EC690A"/>
    <w:rsid w:val="00EC6961"/>
    <w:rsid w:val="00EC699B"/>
    <w:rsid w:val="00EC69EE"/>
    <w:rsid w:val="00EC6CC8"/>
    <w:rsid w:val="00EC6DA3"/>
    <w:rsid w:val="00EC6EAB"/>
    <w:rsid w:val="00EC6FE0"/>
    <w:rsid w:val="00EC7001"/>
    <w:rsid w:val="00EC798D"/>
    <w:rsid w:val="00EC7A85"/>
    <w:rsid w:val="00EC7B4E"/>
    <w:rsid w:val="00EC7B9A"/>
    <w:rsid w:val="00EC7C07"/>
    <w:rsid w:val="00EC7C61"/>
    <w:rsid w:val="00EC7F6D"/>
    <w:rsid w:val="00ED04A9"/>
    <w:rsid w:val="00ED0507"/>
    <w:rsid w:val="00ED062C"/>
    <w:rsid w:val="00ED083C"/>
    <w:rsid w:val="00ED09C0"/>
    <w:rsid w:val="00ED09E6"/>
    <w:rsid w:val="00ED0CE4"/>
    <w:rsid w:val="00ED0E9E"/>
    <w:rsid w:val="00ED0F42"/>
    <w:rsid w:val="00ED1934"/>
    <w:rsid w:val="00ED19F6"/>
    <w:rsid w:val="00ED1F6A"/>
    <w:rsid w:val="00ED218E"/>
    <w:rsid w:val="00ED2254"/>
    <w:rsid w:val="00ED24C3"/>
    <w:rsid w:val="00ED2681"/>
    <w:rsid w:val="00ED26AC"/>
    <w:rsid w:val="00ED2812"/>
    <w:rsid w:val="00ED2C96"/>
    <w:rsid w:val="00ED2C9D"/>
    <w:rsid w:val="00ED33C6"/>
    <w:rsid w:val="00ED34D8"/>
    <w:rsid w:val="00ED3964"/>
    <w:rsid w:val="00ED3A1D"/>
    <w:rsid w:val="00ED3CA5"/>
    <w:rsid w:val="00ED3CB4"/>
    <w:rsid w:val="00ED407F"/>
    <w:rsid w:val="00ED409D"/>
    <w:rsid w:val="00ED4383"/>
    <w:rsid w:val="00ED43AB"/>
    <w:rsid w:val="00ED462E"/>
    <w:rsid w:val="00ED4911"/>
    <w:rsid w:val="00ED49CC"/>
    <w:rsid w:val="00ED4B8B"/>
    <w:rsid w:val="00ED4C69"/>
    <w:rsid w:val="00ED4EDC"/>
    <w:rsid w:val="00ED4F22"/>
    <w:rsid w:val="00ED5008"/>
    <w:rsid w:val="00ED5015"/>
    <w:rsid w:val="00ED5339"/>
    <w:rsid w:val="00ED53C7"/>
    <w:rsid w:val="00ED570A"/>
    <w:rsid w:val="00ED5788"/>
    <w:rsid w:val="00ED5887"/>
    <w:rsid w:val="00ED58FE"/>
    <w:rsid w:val="00ED5B35"/>
    <w:rsid w:val="00ED5CFE"/>
    <w:rsid w:val="00ED5D19"/>
    <w:rsid w:val="00ED5D6B"/>
    <w:rsid w:val="00ED6009"/>
    <w:rsid w:val="00ED6039"/>
    <w:rsid w:val="00ED6103"/>
    <w:rsid w:val="00ED6F98"/>
    <w:rsid w:val="00ED6FF9"/>
    <w:rsid w:val="00ED7939"/>
    <w:rsid w:val="00ED7A77"/>
    <w:rsid w:val="00ED7C60"/>
    <w:rsid w:val="00ED7EF8"/>
    <w:rsid w:val="00EE0160"/>
    <w:rsid w:val="00EE01DB"/>
    <w:rsid w:val="00EE02B4"/>
    <w:rsid w:val="00EE09EF"/>
    <w:rsid w:val="00EE0BA2"/>
    <w:rsid w:val="00EE0BDA"/>
    <w:rsid w:val="00EE0C81"/>
    <w:rsid w:val="00EE1033"/>
    <w:rsid w:val="00EE1126"/>
    <w:rsid w:val="00EE1915"/>
    <w:rsid w:val="00EE1D60"/>
    <w:rsid w:val="00EE1F65"/>
    <w:rsid w:val="00EE2245"/>
    <w:rsid w:val="00EE2760"/>
    <w:rsid w:val="00EE2791"/>
    <w:rsid w:val="00EE2796"/>
    <w:rsid w:val="00EE28DE"/>
    <w:rsid w:val="00EE2C73"/>
    <w:rsid w:val="00EE2D35"/>
    <w:rsid w:val="00EE322C"/>
    <w:rsid w:val="00EE32F2"/>
    <w:rsid w:val="00EE33E2"/>
    <w:rsid w:val="00EE3994"/>
    <w:rsid w:val="00EE40C8"/>
    <w:rsid w:val="00EE41E5"/>
    <w:rsid w:val="00EE42AE"/>
    <w:rsid w:val="00EE4326"/>
    <w:rsid w:val="00EE4422"/>
    <w:rsid w:val="00EE4517"/>
    <w:rsid w:val="00EE46BB"/>
    <w:rsid w:val="00EE4AEE"/>
    <w:rsid w:val="00EE5377"/>
    <w:rsid w:val="00EE57AD"/>
    <w:rsid w:val="00EE5EA5"/>
    <w:rsid w:val="00EE5EB6"/>
    <w:rsid w:val="00EE5F1B"/>
    <w:rsid w:val="00EE6227"/>
    <w:rsid w:val="00EE6592"/>
    <w:rsid w:val="00EE700B"/>
    <w:rsid w:val="00EE7085"/>
    <w:rsid w:val="00EE721D"/>
    <w:rsid w:val="00EE72CA"/>
    <w:rsid w:val="00EE7570"/>
    <w:rsid w:val="00EE757D"/>
    <w:rsid w:val="00EE788D"/>
    <w:rsid w:val="00EE7913"/>
    <w:rsid w:val="00EE7BFF"/>
    <w:rsid w:val="00EE7DA5"/>
    <w:rsid w:val="00EE7DCB"/>
    <w:rsid w:val="00EF029E"/>
    <w:rsid w:val="00EF035E"/>
    <w:rsid w:val="00EF037C"/>
    <w:rsid w:val="00EF05DF"/>
    <w:rsid w:val="00EF0776"/>
    <w:rsid w:val="00EF07EA"/>
    <w:rsid w:val="00EF0A3E"/>
    <w:rsid w:val="00EF0C56"/>
    <w:rsid w:val="00EF0D41"/>
    <w:rsid w:val="00EF0D55"/>
    <w:rsid w:val="00EF0FB2"/>
    <w:rsid w:val="00EF1051"/>
    <w:rsid w:val="00EF10ED"/>
    <w:rsid w:val="00EF13D7"/>
    <w:rsid w:val="00EF1443"/>
    <w:rsid w:val="00EF160F"/>
    <w:rsid w:val="00EF16E7"/>
    <w:rsid w:val="00EF1806"/>
    <w:rsid w:val="00EF199F"/>
    <w:rsid w:val="00EF19AD"/>
    <w:rsid w:val="00EF1A35"/>
    <w:rsid w:val="00EF1BE5"/>
    <w:rsid w:val="00EF1D8C"/>
    <w:rsid w:val="00EF1F57"/>
    <w:rsid w:val="00EF1F96"/>
    <w:rsid w:val="00EF209E"/>
    <w:rsid w:val="00EF243B"/>
    <w:rsid w:val="00EF25F9"/>
    <w:rsid w:val="00EF2760"/>
    <w:rsid w:val="00EF2A9E"/>
    <w:rsid w:val="00EF2AD0"/>
    <w:rsid w:val="00EF2B26"/>
    <w:rsid w:val="00EF2B38"/>
    <w:rsid w:val="00EF2BAF"/>
    <w:rsid w:val="00EF2C49"/>
    <w:rsid w:val="00EF2DA8"/>
    <w:rsid w:val="00EF3258"/>
    <w:rsid w:val="00EF331A"/>
    <w:rsid w:val="00EF34D3"/>
    <w:rsid w:val="00EF353C"/>
    <w:rsid w:val="00EF355B"/>
    <w:rsid w:val="00EF365A"/>
    <w:rsid w:val="00EF376C"/>
    <w:rsid w:val="00EF37DB"/>
    <w:rsid w:val="00EF3BBC"/>
    <w:rsid w:val="00EF4009"/>
    <w:rsid w:val="00EF43E2"/>
    <w:rsid w:val="00EF452D"/>
    <w:rsid w:val="00EF4A40"/>
    <w:rsid w:val="00EF4A4C"/>
    <w:rsid w:val="00EF4B15"/>
    <w:rsid w:val="00EF4B4F"/>
    <w:rsid w:val="00EF4B52"/>
    <w:rsid w:val="00EF4CB3"/>
    <w:rsid w:val="00EF50D5"/>
    <w:rsid w:val="00EF53C7"/>
    <w:rsid w:val="00EF5958"/>
    <w:rsid w:val="00EF5C00"/>
    <w:rsid w:val="00EF5C37"/>
    <w:rsid w:val="00EF5D1D"/>
    <w:rsid w:val="00EF5E95"/>
    <w:rsid w:val="00EF6118"/>
    <w:rsid w:val="00EF63CD"/>
    <w:rsid w:val="00EF64D1"/>
    <w:rsid w:val="00EF6718"/>
    <w:rsid w:val="00EF68B8"/>
    <w:rsid w:val="00EF6A56"/>
    <w:rsid w:val="00EF6BFC"/>
    <w:rsid w:val="00EF6DE5"/>
    <w:rsid w:val="00EF6F38"/>
    <w:rsid w:val="00EF71C1"/>
    <w:rsid w:val="00EF7488"/>
    <w:rsid w:val="00EF7610"/>
    <w:rsid w:val="00EF7B80"/>
    <w:rsid w:val="00F00478"/>
    <w:rsid w:val="00F0070B"/>
    <w:rsid w:val="00F007BC"/>
    <w:rsid w:val="00F00835"/>
    <w:rsid w:val="00F00A64"/>
    <w:rsid w:val="00F00D0E"/>
    <w:rsid w:val="00F01342"/>
    <w:rsid w:val="00F01351"/>
    <w:rsid w:val="00F0140B"/>
    <w:rsid w:val="00F01768"/>
    <w:rsid w:val="00F017C5"/>
    <w:rsid w:val="00F0183D"/>
    <w:rsid w:val="00F0199E"/>
    <w:rsid w:val="00F0234E"/>
    <w:rsid w:val="00F02465"/>
    <w:rsid w:val="00F027EE"/>
    <w:rsid w:val="00F029C3"/>
    <w:rsid w:val="00F02A72"/>
    <w:rsid w:val="00F02C56"/>
    <w:rsid w:val="00F02CB8"/>
    <w:rsid w:val="00F02DEE"/>
    <w:rsid w:val="00F02F3F"/>
    <w:rsid w:val="00F02F91"/>
    <w:rsid w:val="00F035F6"/>
    <w:rsid w:val="00F03618"/>
    <w:rsid w:val="00F03A02"/>
    <w:rsid w:val="00F03BE6"/>
    <w:rsid w:val="00F03CF5"/>
    <w:rsid w:val="00F03F4E"/>
    <w:rsid w:val="00F041CE"/>
    <w:rsid w:val="00F04435"/>
    <w:rsid w:val="00F047F5"/>
    <w:rsid w:val="00F048FF"/>
    <w:rsid w:val="00F04AC4"/>
    <w:rsid w:val="00F04AE7"/>
    <w:rsid w:val="00F04D83"/>
    <w:rsid w:val="00F05767"/>
    <w:rsid w:val="00F05ACE"/>
    <w:rsid w:val="00F05D33"/>
    <w:rsid w:val="00F060CF"/>
    <w:rsid w:val="00F065ED"/>
    <w:rsid w:val="00F06624"/>
    <w:rsid w:val="00F0685E"/>
    <w:rsid w:val="00F06908"/>
    <w:rsid w:val="00F06A92"/>
    <w:rsid w:val="00F06AB1"/>
    <w:rsid w:val="00F06C95"/>
    <w:rsid w:val="00F072EB"/>
    <w:rsid w:val="00F073F0"/>
    <w:rsid w:val="00F074A9"/>
    <w:rsid w:val="00F07A94"/>
    <w:rsid w:val="00F07ADF"/>
    <w:rsid w:val="00F07B45"/>
    <w:rsid w:val="00F07B99"/>
    <w:rsid w:val="00F07C12"/>
    <w:rsid w:val="00F07CCB"/>
    <w:rsid w:val="00F10572"/>
    <w:rsid w:val="00F1062F"/>
    <w:rsid w:val="00F10BFC"/>
    <w:rsid w:val="00F10C15"/>
    <w:rsid w:val="00F10C68"/>
    <w:rsid w:val="00F10C83"/>
    <w:rsid w:val="00F10D31"/>
    <w:rsid w:val="00F10E43"/>
    <w:rsid w:val="00F112BD"/>
    <w:rsid w:val="00F11679"/>
    <w:rsid w:val="00F11D46"/>
    <w:rsid w:val="00F11E48"/>
    <w:rsid w:val="00F11EC2"/>
    <w:rsid w:val="00F11EDB"/>
    <w:rsid w:val="00F120A9"/>
    <w:rsid w:val="00F12473"/>
    <w:rsid w:val="00F125EF"/>
    <w:rsid w:val="00F12DCB"/>
    <w:rsid w:val="00F13041"/>
    <w:rsid w:val="00F136E7"/>
    <w:rsid w:val="00F136EF"/>
    <w:rsid w:val="00F13884"/>
    <w:rsid w:val="00F139D4"/>
    <w:rsid w:val="00F13B15"/>
    <w:rsid w:val="00F13BB5"/>
    <w:rsid w:val="00F13CBC"/>
    <w:rsid w:val="00F1405D"/>
    <w:rsid w:val="00F14154"/>
    <w:rsid w:val="00F1439B"/>
    <w:rsid w:val="00F14643"/>
    <w:rsid w:val="00F14842"/>
    <w:rsid w:val="00F14A7E"/>
    <w:rsid w:val="00F1500C"/>
    <w:rsid w:val="00F155DB"/>
    <w:rsid w:val="00F1562E"/>
    <w:rsid w:val="00F156BB"/>
    <w:rsid w:val="00F1636A"/>
    <w:rsid w:val="00F163A7"/>
    <w:rsid w:val="00F1654E"/>
    <w:rsid w:val="00F166B0"/>
    <w:rsid w:val="00F166CB"/>
    <w:rsid w:val="00F167F6"/>
    <w:rsid w:val="00F176E5"/>
    <w:rsid w:val="00F17996"/>
    <w:rsid w:val="00F17A1B"/>
    <w:rsid w:val="00F17B8D"/>
    <w:rsid w:val="00F17EB9"/>
    <w:rsid w:val="00F17FF6"/>
    <w:rsid w:val="00F20510"/>
    <w:rsid w:val="00F20829"/>
    <w:rsid w:val="00F20EE5"/>
    <w:rsid w:val="00F2101D"/>
    <w:rsid w:val="00F21092"/>
    <w:rsid w:val="00F21135"/>
    <w:rsid w:val="00F2134B"/>
    <w:rsid w:val="00F2165E"/>
    <w:rsid w:val="00F216C1"/>
    <w:rsid w:val="00F21894"/>
    <w:rsid w:val="00F21C6C"/>
    <w:rsid w:val="00F21F39"/>
    <w:rsid w:val="00F2204B"/>
    <w:rsid w:val="00F222DB"/>
    <w:rsid w:val="00F22408"/>
    <w:rsid w:val="00F22466"/>
    <w:rsid w:val="00F2252C"/>
    <w:rsid w:val="00F2299F"/>
    <w:rsid w:val="00F22A15"/>
    <w:rsid w:val="00F22A67"/>
    <w:rsid w:val="00F22D91"/>
    <w:rsid w:val="00F22DB0"/>
    <w:rsid w:val="00F22DF1"/>
    <w:rsid w:val="00F231EC"/>
    <w:rsid w:val="00F2332D"/>
    <w:rsid w:val="00F234AC"/>
    <w:rsid w:val="00F23501"/>
    <w:rsid w:val="00F238A0"/>
    <w:rsid w:val="00F23A6F"/>
    <w:rsid w:val="00F23C3A"/>
    <w:rsid w:val="00F23DD0"/>
    <w:rsid w:val="00F23EC8"/>
    <w:rsid w:val="00F23ED8"/>
    <w:rsid w:val="00F23F40"/>
    <w:rsid w:val="00F24207"/>
    <w:rsid w:val="00F242CF"/>
    <w:rsid w:val="00F24496"/>
    <w:rsid w:val="00F245F7"/>
    <w:rsid w:val="00F248A4"/>
    <w:rsid w:val="00F2497C"/>
    <w:rsid w:val="00F24AFF"/>
    <w:rsid w:val="00F24B5B"/>
    <w:rsid w:val="00F24B67"/>
    <w:rsid w:val="00F24E05"/>
    <w:rsid w:val="00F25111"/>
    <w:rsid w:val="00F252A0"/>
    <w:rsid w:val="00F25339"/>
    <w:rsid w:val="00F25B22"/>
    <w:rsid w:val="00F25EA1"/>
    <w:rsid w:val="00F2602C"/>
    <w:rsid w:val="00F26209"/>
    <w:rsid w:val="00F2620C"/>
    <w:rsid w:val="00F269A4"/>
    <w:rsid w:val="00F2717E"/>
    <w:rsid w:val="00F27277"/>
    <w:rsid w:val="00F27433"/>
    <w:rsid w:val="00F27CFD"/>
    <w:rsid w:val="00F30251"/>
    <w:rsid w:val="00F3044B"/>
    <w:rsid w:val="00F3085E"/>
    <w:rsid w:val="00F30A59"/>
    <w:rsid w:val="00F30D01"/>
    <w:rsid w:val="00F30D2B"/>
    <w:rsid w:val="00F30D8D"/>
    <w:rsid w:val="00F30F01"/>
    <w:rsid w:val="00F3109F"/>
    <w:rsid w:val="00F310C9"/>
    <w:rsid w:val="00F31218"/>
    <w:rsid w:val="00F31226"/>
    <w:rsid w:val="00F31439"/>
    <w:rsid w:val="00F31520"/>
    <w:rsid w:val="00F316FF"/>
    <w:rsid w:val="00F31A1C"/>
    <w:rsid w:val="00F31B06"/>
    <w:rsid w:val="00F31D01"/>
    <w:rsid w:val="00F32048"/>
    <w:rsid w:val="00F3249E"/>
    <w:rsid w:val="00F326E4"/>
    <w:rsid w:val="00F32712"/>
    <w:rsid w:val="00F3286B"/>
    <w:rsid w:val="00F32D2B"/>
    <w:rsid w:val="00F32EEC"/>
    <w:rsid w:val="00F32F1B"/>
    <w:rsid w:val="00F32FFB"/>
    <w:rsid w:val="00F33465"/>
    <w:rsid w:val="00F3357A"/>
    <w:rsid w:val="00F33599"/>
    <w:rsid w:val="00F337FA"/>
    <w:rsid w:val="00F33C4B"/>
    <w:rsid w:val="00F33DF9"/>
    <w:rsid w:val="00F340BA"/>
    <w:rsid w:val="00F343F5"/>
    <w:rsid w:val="00F3477B"/>
    <w:rsid w:val="00F348D0"/>
    <w:rsid w:val="00F34961"/>
    <w:rsid w:val="00F349E9"/>
    <w:rsid w:val="00F34A44"/>
    <w:rsid w:val="00F34BFB"/>
    <w:rsid w:val="00F34C51"/>
    <w:rsid w:val="00F34E9C"/>
    <w:rsid w:val="00F353D6"/>
    <w:rsid w:val="00F356B7"/>
    <w:rsid w:val="00F359BC"/>
    <w:rsid w:val="00F35E34"/>
    <w:rsid w:val="00F36158"/>
    <w:rsid w:val="00F361F4"/>
    <w:rsid w:val="00F366EB"/>
    <w:rsid w:val="00F36A2A"/>
    <w:rsid w:val="00F36D9B"/>
    <w:rsid w:val="00F36E75"/>
    <w:rsid w:val="00F36ED0"/>
    <w:rsid w:val="00F377B2"/>
    <w:rsid w:val="00F37819"/>
    <w:rsid w:val="00F37CC4"/>
    <w:rsid w:val="00F40180"/>
    <w:rsid w:val="00F4018D"/>
    <w:rsid w:val="00F406C0"/>
    <w:rsid w:val="00F408E4"/>
    <w:rsid w:val="00F40967"/>
    <w:rsid w:val="00F409C0"/>
    <w:rsid w:val="00F40B6D"/>
    <w:rsid w:val="00F40CBF"/>
    <w:rsid w:val="00F40E01"/>
    <w:rsid w:val="00F410BF"/>
    <w:rsid w:val="00F411F6"/>
    <w:rsid w:val="00F41429"/>
    <w:rsid w:val="00F41AB1"/>
    <w:rsid w:val="00F41BC3"/>
    <w:rsid w:val="00F41EC8"/>
    <w:rsid w:val="00F4213E"/>
    <w:rsid w:val="00F422D0"/>
    <w:rsid w:val="00F4285F"/>
    <w:rsid w:val="00F4300F"/>
    <w:rsid w:val="00F43074"/>
    <w:rsid w:val="00F43458"/>
    <w:rsid w:val="00F43773"/>
    <w:rsid w:val="00F4391F"/>
    <w:rsid w:val="00F43CA7"/>
    <w:rsid w:val="00F44158"/>
    <w:rsid w:val="00F44174"/>
    <w:rsid w:val="00F441D9"/>
    <w:rsid w:val="00F442DA"/>
    <w:rsid w:val="00F4487D"/>
    <w:rsid w:val="00F44924"/>
    <w:rsid w:val="00F44968"/>
    <w:rsid w:val="00F449A0"/>
    <w:rsid w:val="00F44AC9"/>
    <w:rsid w:val="00F44F89"/>
    <w:rsid w:val="00F45102"/>
    <w:rsid w:val="00F451BD"/>
    <w:rsid w:val="00F4523C"/>
    <w:rsid w:val="00F45349"/>
    <w:rsid w:val="00F454CB"/>
    <w:rsid w:val="00F455F9"/>
    <w:rsid w:val="00F4564A"/>
    <w:rsid w:val="00F45A13"/>
    <w:rsid w:val="00F45B20"/>
    <w:rsid w:val="00F45B22"/>
    <w:rsid w:val="00F45CAE"/>
    <w:rsid w:val="00F45E31"/>
    <w:rsid w:val="00F45FA7"/>
    <w:rsid w:val="00F461D5"/>
    <w:rsid w:val="00F462B3"/>
    <w:rsid w:val="00F46BFD"/>
    <w:rsid w:val="00F46C30"/>
    <w:rsid w:val="00F46F21"/>
    <w:rsid w:val="00F47374"/>
    <w:rsid w:val="00F47474"/>
    <w:rsid w:val="00F4754A"/>
    <w:rsid w:val="00F476AA"/>
    <w:rsid w:val="00F4774C"/>
    <w:rsid w:val="00F478D2"/>
    <w:rsid w:val="00F47987"/>
    <w:rsid w:val="00F47CF2"/>
    <w:rsid w:val="00F47F4F"/>
    <w:rsid w:val="00F5018A"/>
    <w:rsid w:val="00F50600"/>
    <w:rsid w:val="00F507E8"/>
    <w:rsid w:val="00F509EE"/>
    <w:rsid w:val="00F50AF8"/>
    <w:rsid w:val="00F50D2D"/>
    <w:rsid w:val="00F513CD"/>
    <w:rsid w:val="00F51552"/>
    <w:rsid w:val="00F5187A"/>
    <w:rsid w:val="00F51A29"/>
    <w:rsid w:val="00F51AD7"/>
    <w:rsid w:val="00F51E98"/>
    <w:rsid w:val="00F526FE"/>
    <w:rsid w:val="00F52A68"/>
    <w:rsid w:val="00F52C9D"/>
    <w:rsid w:val="00F52E3E"/>
    <w:rsid w:val="00F52F5C"/>
    <w:rsid w:val="00F52F87"/>
    <w:rsid w:val="00F52FAD"/>
    <w:rsid w:val="00F5321E"/>
    <w:rsid w:val="00F536FD"/>
    <w:rsid w:val="00F53755"/>
    <w:rsid w:val="00F5375E"/>
    <w:rsid w:val="00F53D01"/>
    <w:rsid w:val="00F53F3B"/>
    <w:rsid w:val="00F53FAC"/>
    <w:rsid w:val="00F54764"/>
    <w:rsid w:val="00F54BB6"/>
    <w:rsid w:val="00F54E54"/>
    <w:rsid w:val="00F5509C"/>
    <w:rsid w:val="00F55275"/>
    <w:rsid w:val="00F5567D"/>
    <w:rsid w:val="00F5595E"/>
    <w:rsid w:val="00F55BC6"/>
    <w:rsid w:val="00F55F1A"/>
    <w:rsid w:val="00F56065"/>
    <w:rsid w:val="00F56298"/>
    <w:rsid w:val="00F562D0"/>
    <w:rsid w:val="00F563E6"/>
    <w:rsid w:val="00F5645D"/>
    <w:rsid w:val="00F564C5"/>
    <w:rsid w:val="00F56623"/>
    <w:rsid w:val="00F56793"/>
    <w:rsid w:val="00F570F0"/>
    <w:rsid w:val="00F5712D"/>
    <w:rsid w:val="00F57257"/>
    <w:rsid w:val="00F5739B"/>
    <w:rsid w:val="00F574FD"/>
    <w:rsid w:val="00F576E7"/>
    <w:rsid w:val="00F5787A"/>
    <w:rsid w:val="00F57C85"/>
    <w:rsid w:val="00F57D76"/>
    <w:rsid w:val="00F57FD0"/>
    <w:rsid w:val="00F60069"/>
    <w:rsid w:val="00F6031C"/>
    <w:rsid w:val="00F6047B"/>
    <w:rsid w:val="00F60685"/>
    <w:rsid w:val="00F60E56"/>
    <w:rsid w:val="00F60FD8"/>
    <w:rsid w:val="00F60FF0"/>
    <w:rsid w:val="00F61193"/>
    <w:rsid w:val="00F6161F"/>
    <w:rsid w:val="00F616CC"/>
    <w:rsid w:val="00F616FF"/>
    <w:rsid w:val="00F6171A"/>
    <w:rsid w:val="00F618F2"/>
    <w:rsid w:val="00F61FFA"/>
    <w:rsid w:val="00F62073"/>
    <w:rsid w:val="00F623CF"/>
    <w:rsid w:val="00F6248C"/>
    <w:rsid w:val="00F6261C"/>
    <w:rsid w:val="00F6271A"/>
    <w:rsid w:val="00F62946"/>
    <w:rsid w:val="00F62EE7"/>
    <w:rsid w:val="00F63528"/>
    <w:rsid w:val="00F639CA"/>
    <w:rsid w:val="00F63B29"/>
    <w:rsid w:val="00F63F76"/>
    <w:rsid w:val="00F6400F"/>
    <w:rsid w:val="00F64085"/>
    <w:rsid w:val="00F64239"/>
    <w:rsid w:val="00F64421"/>
    <w:rsid w:val="00F6448B"/>
    <w:rsid w:val="00F647E1"/>
    <w:rsid w:val="00F64C0D"/>
    <w:rsid w:val="00F64DAA"/>
    <w:rsid w:val="00F650E9"/>
    <w:rsid w:val="00F652DC"/>
    <w:rsid w:val="00F65430"/>
    <w:rsid w:val="00F65774"/>
    <w:rsid w:val="00F65B1D"/>
    <w:rsid w:val="00F65ECD"/>
    <w:rsid w:val="00F65FD9"/>
    <w:rsid w:val="00F6648B"/>
    <w:rsid w:val="00F66492"/>
    <w:rsid w:val="00F6684F"/>
    <w:rsid w:val="00F669B5"/>
    <w:rsid w:val="00F66D25"/>
    <w:rsid w:val="00F673A2"/>
    <w:rsid w:val="00F6751D"/>
    <w:rsid w:val="00F67B2E"/>
    <w:rsid w:val="00F67B47"/>
    <w:rsid w:val="00F67B71"/>
    <w:rsid w:val="00F67BEB"/>
    <w:rsid w:val="00F67D3A"/>
    <w:rsid w:val="00F67F9A"/>
    <w:rsid w:val="00F67FF0"/>
    <w:rsid w:val="00F702A0"/>
    <w:rsid w:val="00F703E8"/>
    <w:rsid w:val="00F70438"/>
    <w:rsid w:val="00F70BC3"/>
    <w:rsid w:val="00F70BFB"/>
    <w:rsid w:val="00F70C37"/>
    <w:rsid w:val="00F70E3E"/>
    <w:rsid w:val="00F70E6C"/>
    <w:rsid w:val="00F70EC6"/>
    <w:rsid w:val="00F710A5"/>
    <w:rsid w:val="00F71107"/>
    <w:rsid w:val="00F7117B"/>
    <w:rsid w:val="00F711BD"/>
    <w:rsid w:val="00F71328"/>
    <w:rsid w:val="00F71644"/>
    <w:rsid w:val="00F71CEF"/>
    <w:rsid w:val="00F71D10"/>
    <w:rsid w:val="00F71D49"/>
    <w:rsid w:val="00F71DB8"/>
    <w:rsid w:val="00F71E81"/>
    <w:rsid w:val="00F7223C"/>
    <w:rsid w:val="00F7237D"/>
    <w:rsid w:val="00F723B7"/>
    <w:rsid w:val="00F724A1"/>
    <w:rsid w:val="00F7251E"/>
    <w:rsid w:val="00F7253D"/>
    <w:rsid w:val="00F729B1"/>
    <w:rsid w:val="00F72AC6"/>
    <w:rsid w:val="00F72AFA"/>
    <w:rsid w:val="00F72CF2"/>
    <w:rsid w:val="00F72F45"/>
    <w:rsid w:val="00F7305C"/>
    <w:rsid w:val="00F730D2"/>
    <w:rsid w:val="00F7377C"/>
    <w:rsid w:val="00F737EE"/>
    <w:rsid w:val="00F73944"/>
    <w:rsid w:val="00F73F21"/>
    <w:rsid w:val="00F73F43"/>
    <w:rsid w:val="00F73FB2"/>
    <w:rsid w:val="00F74237"/>
    <w:rsid w:val="00F74F76"/>
    <w:rsid w:val="00F75122"/>
    <w:rsid w:val="00F7513A"/>
    <w:rsid w:val="00F753BB"/>
    <w:rsid w:val="00F75472"/>
    <w:rsid w:val="00F754D3"/>
    <w:rsid w:val="00F7564B"/>
    <w:rsid w:val="00F75883"/>
    <w:rsid w:val="00F76685"/>
    <w:rsid w:val="00F7679F"/>
    <w:rsid w:val="00F7686D"/>
    <w:rsid w:val="00F76AB6"/>
    <w:rsid w:val="00F76AD8"/>
    <w:rsid w:val="00F76D85"/>
    <w:rsid w:val="00F76E23"/>
    <w:rsid w:val="00F76EAF"/>
    <w:rsid w:val="00F76EFD"/>
    <w:rsid w:val="00F77023"/>
    <w:rsid w:val="00F770E8"/>
    <w:rsid w:val="00F771E0"/>
    <w:rsid w:val="00F772C9"/>
    <w:rsid w:val="00F77385"/>
    <w:rsid w:val="00F77522"/>
    <w:rsid w:val="00F777A6"/>
    <w:rsid w:val="00F7786A"/>
    <w:rsid w:val="00F77B75"/>
    <w:rsid w:val="00F77B84"/>
    <w:rsid w:val="00F77BA0"/>
    <w:rsid w:val="00F8068B"/>
    <w:rsid w:val="00F80876"/>
    <w:rsid w:val="00F80A6B"/>
    <w:rsid w:val="00F80AB4"/>
    <w:rsid w:val="00F80B2E"/>
    <w:rsid w:val="00F80D4D"/>
    <w:rsid w:val="00F80D92"/>
    <w:rsid w:val="00F80DA1"/>
    <w:rsid w:val="00F8174F"/>
    <w:rsid w:val="00F818C6"/>
    <w:rsid w:val="00F83179"/>
    <w:rsid w:val="00F83356"/>
    <w:rsid w:val="00F83644"/>
    <w:rsid w:val="00F838C7"/>
    <w:rsid w:val="00F83E6B"/>
    <w:rsid w:val="00F83F89"/>
    <w:rsid w:val="00F84675"/>
    <w:rsid w:val="00F84883"/>
    <w:rsid w:val="00F84B73"/>
    <w:rsid w:val="00F84CB8"/>
    <w:rsid w:val="00F850E7"/>
    <w:rsid w:val="00F851BC"/>
    <w:rsid w:val="00F851CA"/>
    <w:rsid w:val="00F85236"/>
    <w:rsid w:val="00F852B9"/>
    <w:rsid w:val="00F852D6"/>
    <w:rsid w:val="00F85308"/>
    <w:rsid w:val="00F8560D"/>
    <w:rsid w:val="00F856A6"/>
    <w:rsid w:val="00F85747"/>
    <w:rsid w:val="00F85750"/>
    <w:rsid w:val="00F85791"/>
    <w:rsid w:val="00F85D44"/>
    <w:rsid w:val="00F85E18"/>
    <w:rsid w:val="00F85E94"/>
    <w:rsid w:val="00F86323"/>
    <w:rsid w:val="00F864EF"/>
    <w:rsid w:val="00F86591"/>
    <w:rsid w:val="00F868EA"/>
    <w:rsid w:val="00F86A26"/>
    <w:rsid w:val="00F86C77"/>
    <w:rsid w:val="00F86CDE"/>
    <w:rsid w:val="00F87167"/>
    <w:rsid w:val="00F871AC"/>
    <w:rsid w:val="00F87528"/>
    <w:rsid w:val="00F878ED"/>
    <w:rsid w:val="00F879BC"/>
    <w:rsid w:val="00F87C6F"/>
    <w:rsid w:val="00F87C82"/>
    <w:rsid w:val="00F90077"/>
    <w:rsid w:val="00F9018E"/>
    <w:rsid w:val="00F90599"/>
    <w:rsid w:val="00F90834"/>
    <w:rsid w:val="00F90A3B"/>
    <w:rsid w:val="00F90DEC"/>
    <w:rsid w:val="00F90EE7"/>
    <w:rsid w:val="00F9115B"/>
    <w:rsid w:val="00F911EF"/>
    <w:rsid w:val="00F913E8"/>
    <w:rsid w:val="00F913FA"/>
    <w:rsid w:val="00F91438"/>
    <w:rsid w:val="00F914FF"/>
    <w:rsid w:val="00F91845"/>
    <w:rsid w:val="00F91D1A"/>
    <w:rsid w:val="00F91D3C"/>
    <w:rsid w:val="00F91D78"/>
    <w:rsid w:val="00F91F7D"/>
    <w:rsid w:val="00F92209"/>
    <w:rsid w:val="00F926ED"/>
    <w:rsid w:val="00F92B00"/>
    <w:rsid w:val="00F93531"/>
    <w:rsid w:val="00F93C95"/>
    <w:rsid w:val="00F93E3F"/>
    <w:rsid w:val="00F93EDD"/>
    <w:rsid w:val="00F94045"/>
    <w:rsid w:val="00F94502"/>
    <w:rsid w:val="00F94838"/>
    <w:rsid w:val="00F94969"/>
    <w:rsid w:val="00F94F71"/>
    <w:rsid w:val="00F9525C"/>
    <w:rsid w:val="00F9533E"/>
    <w:rsid w:val="00F95391"/>
    <w:rsid w:val="00F953C8"/>
    <w:rsid w:val="00F95489"/>
    <w:rsid w:val="00F954AD"/>
    <w:rsid w:val="00F95765"/>
    <w:rsid w:val="00F95856"/>
    <w:rsid w:val="00F95910"/>
    <w:rsid w:val="00F95972"/>
    <w:rsid w:val="00F95B49"/>
    <w:rsid w:val="00F95C4C"/>
    <w:rsid w:val="00F96041"/>
    <w:rsid w:val="00F9609F"/>
    <w:rsid w:val="00F960E7"/>
    <w:rsid w:val="00F961B8"/>
    <w:rsid w:val="00F9624B"/>
    <w:rsid w:val="00F96358"/>
    <w:rsid w:val="00F96597"/>
    <w:rsid w:val="00F965C4"/>
    <w:rsid w:val="00F96674"/>
    <w:rsid w:val="00F96A8F"/>
    <w:rsid w:val="00F96B9D"/>
    <w:rsid w:val="00F97027"/>
    <w:rsid w:val="00F9712F"/>
    <w:rsid w:val="00F97334"/>
    <w:rsid w:val="00F977E7"/>
    <w:rsid w:val="00F97B4D"/>
    <w:rsid w:val="00FA0BDD"/>
    <w:rsid w:val="00FA1293"/>
    <w:rsid w:val="00FA15BA"/>
    <w:rsid w:val="00FA16BC"/>
    <w:rsid w:val="00FA180B"/>
    <w:rsid w:val="00FA1B87"/>
    <w:rsid w:val="00FA1BF9"/>
    <w:rsid w:val="00FA1C59"/>
    <w:rsid w:val="00FA1E6C"/>
    <w:rsid w:val="00FA1FF6"/>
    <w:rsid w:val="00FA21BD"/>
    <w:rsid w:val="00FA225E"/>
    <w:rsid w:val="00FA2311"/>
    <w:rsid w:val="00FA23E6"/>
    <w:rsid w:val="00FA23F3"/>
    <w:rsid w:val="00FA253D"/>
    <w:rsid w:val="00FA26E2"/>
    <w:rsid w:val="00FA26EE"/>
    <w:rsid w:val="00FA2AC6"/>
    <w:rsid w:val="00FA3079"/>
    <w:rsid w:val="00FA3513"/>
    <w:rsid w:val="00FA3854"/>
    <w:rsid w:val="00FA3AB2"/>
    <w:rsid w:val="00FA3E20"/>
    <w:rsid w:val="00FA40C6"/>
    <w:rsid w:val="00FA41A4"/>
    <w:rsid w:val="00FA45DE"/>
    <w:rsid w:val="00FA4966"/>
    <w:rsid w:val="00FA4A58"/>
    <w:rsid w:val="00FA4A69"/>
    <w:rsid w:val="00FA4BBF"/>
    <w:rsid w:val="00FA4C3D"/>
    <w:rsid w:val="00FA4CC3"/>
    <w:rsid w:val="00FA4D10"/>
    <w:rsid w:val="00FA4EEA"/>
    <w:rsid w:val="00FA4F83"/>
    <w:rsid w:val="00FA51B4"/>
    <w:rsid w:val="00FA51CD"/>
    <w:rsid w:val="00FA52E5"/>
    <w:rsid w:val="00FA5433"/>
    <w:rsid w:val="00FA5661"/>
    <w:rsid w:val="00FA56E1"/>
    <w:rsid w:val="00FA5715"/>
    <w:rsid w:val="00FA578F"/>
    <w:rsid w:val="00FA5A08"/>
    <w:rsid w:val="00FA5B17"/>
    <w:rsid w:val="00FA5B38"/>
    <w:rsid w:val="00FA5C8E"/>
    <w:rsid w:val="00FA5E1F"/>
    <w:rsid w:val="00FA5F26"/>
    <w:rsid w:val="00FA619A"/>
    <w:rsid w:val="00FA64CB"/>
    <w:rsid w:val="00FA65EC"/>
    <w:rsid w:val="00FA6657"/>
    <w:rsid w:val="00FA6702"/>
    <w:rsid w:val="00FA67A7"/>
    <w:rsid w:val="00FA67D3"/>
    <w:rsid w:val="00FA6E2F"/>
    <w:rsid w:val="00FA6FF1"/>
    <w:rsid w:val="00FA7096"/>
    <w:rsid w:val="00FA71E8"/>
    <w:rsid w:val="00FA78C6"/>
    <w:rsid w:val="00FA7923"/>
    <w:rsid w:val="00FA7AB6"/>
    <w:rsid w:val="00FA7D3D"/>
    <w:rsid w:val="00FA7D9D"/>
    <w:rsid w:val="00FA7EF2"/>
    <w:rsid w:val="00FB0889"/>
    <w:rsid w:val="00FB0CBB"/>
    <w:rsid w:val="00FB0D3A"/>
    <w:rsid w:val="00FB1222"/>
    <w:rsid w:val="00FB12D6"/>
    <w:rsid w:val="00FB1397"/>
    <w:rsid w:val="00FB15B7"/>
    <w:rsid w:val="00FB1622"/>
    <w:rsid w:val="00FB16E6"/>
    <w:rsid w:val="00FB17E2"/>
    <w:rsid w:val="00FB18F0"/>
    <w:rsid w:val="00FB1CE2"/>
    <w:rsid w:val="00FB1F5A"/>
    <w:rsid w:val="00FB2492"/>
    <w:rsid w:val="00FB2623"/>
    <w:rsid w:val="00FB26E5"/>
    <w:rsid w:val="00FB26FD"/>
    <w:rsid w:val="00FB2722"/>
    <w:rsid w:val="00FB2BCE"/>
    <w:rsid w:val="00FB2E02"/>
    <w:rsid w:val="00FB2EC8"/>
    <w:rsid w:val="00FB308D"/>
    <w:rsid w:val="00FB30C0"/>
    <w:rsid w:val="00FB31D9"/>
    <w:rsid w:val="00FB34E2"/>
    <w:rsid w:val="00FB3503"/>
    <w:rsid w:val="00FB3519"/>
    <w:rsid w:val="00FB35DF"/>
    <w:rsid w:val="00FB3625"/>
    <w:rsid w:val="00FB3706"/>
    <w:rsid w:val="00FB3AA1"/>
    <w:rsid w:val="00FB3C4F"/>
    <w:rsid w:val="00FB3CC4"/>
    <w:rsid w:val="00FB4442"/>
    <w:rsid w:val="00FB47E6"/>
    <w:rsid w:val="00FB4C31"/>
    <w:rsid w:val="00FB4E09"/>
    <w:rsid w:val="00FB4E1D"/>
    <w:rsid w:val="00FB5198"/>
    <w:rsid w:val="00FB51A9"/>
    <w:rsid w:val="00FB51D2"/>
    <w:rsid w:val="00FB525D"/>
    <w:rsid w:val="00FB5442"/>
    <w:rsid w:val="00FB5479"/>
    <w:rsid w:val="00FB58AB"/>
    <w:rsid w:val="00FB59E2"/>
    <w:rsid w:val="00FB5AAF"/>
    <w:rsid w:val="00FB5C04"/>
    <w:rsid w:val="00FB5C4A"/>
    <w:rsid w:val="00FB5F6C"/>
    <w:rsid w:val="00FB626A"/>
    <w:rsid w:val="00FB62C7"/>
    <w:rsid w:val="00FB636E"/>
    <w:rsid w:val="00FB7241"/>
    <w:rsid w:val="00FB73CA"/>
    <w:rsid w:val="00FB7462"/>
    <w:rsid w:val="00FB77E8"/>
    <w:rsid w:val="00FB7AC0"/>
    <w:rsid w:val="00FB7D61"/>
    <w:rsid w:val="00FB7E0F"/>
    <w:rsid w:val="00FC00CA"/>
    <w:rsid w:val="00FC0282"/>
    <w:rsid w:val="00FC0331"/>
    <w:rsid w:val="00FC03DE"/>
    <w:rsid w:val="00FC0777"/>
    <w:rsid w:val="00FC0AF8"/>
    <w:rsid w:val="00FC0B48"/>
    <w:rsid w:val="00FC0E53"/>
    <w:rsid w:val="00FC1061"/>
    <w:rsid w:val="00FC1076"/>
    <w:rsid w:val="00FC10BB"/>
    <w:rsid w:val="00FC118A"/>
    <w:rsid w:val="00FC1DB0"/>
    <w:rsid w:val="00FC1EEC"/>
    <w:rsid w:val="00FC205C"/>
    <w:rsid w:val="00FC269D"/>
    <w:rsid w:val="00FC28DA"/>
    <w:rsid w:val="00FC2B9A"/>
    <w:rsid w:val="00FC2E34"/>
    <w:rsid w:val="00FC2ECA"/>
    <w:rsid w:val="00FC35D9"/>
    <w:rsid w:val="00FC3C51"/>
    <w:rsid w:val="00FC3F84"/>
    <w:rsid w:val="00FC417F"/>
    <w:rsid w:val="00FC461B"/>
    <w:rsid w:val="00FC46BF"/>
    <w:rsid w:val="00FC47E8"/>
    <w:rsid w:val="00FC49F0"/>
    <w:rsid w:val="00FC4CA3"/>
    <w:rsid w:val="00FC4D4C"/>
    <w:rsid w:val="00FC4DAB"/>
    <w:rsid w:val="00FC4E35"/>
    <w:rsid w:val="00FC4F73"/>
    <w:rsid w:val="00FC51DF"/>
    <w:rsid w:val="00FC565D"/>
    <w:rsid w:val="00FC5AB3"/>
    <w:rsid w:val="00FC5AD4"/>
    <w:rsid w:val="00FC5AD7"/>
    <w:rsid w:val="00FC5C38"/>
    <w:rsid w:val="00FC5F2F"/>
    <w:rsid w:val="00FC623E"/>
    <w:rsid w:val="00FC6279"/>
    <w:rsid w:val="00FC6A4F"/>
    <w:rsid w:val="00FC6B10"/>
    <w:rsid w:val="00FC6CA5"/>
    <w:rsid w:val="00FC6DF6"/>
    <w:rsid w:val="00FC726C"/>
    <w:rsid w:val="00FC7282"/>
    <w:rsid w:val="00FC7449"/>
    <w:rsid w:val="00FC76FE"/>
    <w:rsid w:val="00FC7920"/>
    <w:rsid w:val="00FC7AB5"/>
    <w:rsid w:val="00FC7DE2"/>
    <w:rsid w:val="00FD04D6"/>
    <w:rsid w:val="00FD056B"/>
    <w:rsid w:val="00FD069E"/>
    <w:rsid w:val="00FD08EF"/>
    <w:rsid w:val="00FD0E9C"/>
    <w:rsid w:val="00FD1121"/>
    <w:rsid w:val="00FD1242"/>
    <w:rsid w:val="00FD1501"/>
    <w:rsid w:val="00FD17C2"/>
    <w:rsid w:val="00FD1875"/>
    <w:rsid w:val="00FD1CBA"/>
    <w:rsid w:val="00FD1E21"/>
    <w:rsid w:val="00FD223F"/>
    <w:rsid w:val="00FD229C"/>
    <w:rsid w:val="00FD247A"/>
    <w:rsid w:val="00FD28E1"/>
    <w:rsid w:val="00FD2C04"/>
    <w:rsid w:val="00FD3060"/>
    <w:rsid w:val="00FD3521"/>
    <w:rsid w:val="00FD3910"/>
    <w:rsid w:val="00FD3ACE"/>
    <w:rsid w:val="00FD3CB6"/>
    <w:rsid w:val="00FD42F7"/>
    <w:rsid w:val="00FD4456"/>
    <w:rsid w:val="00FD44C9"/>
    <w:rsid w:val="00FD45B4"/>
    <w:rsid w:val="00FD4696"/>
    <w:rsid w:val="00FD4957"/>
    <w:rsid w:val="00FD497E"/>
    <w:rsid w:val="00FD499C"/>
    <w:rsid w:val="00FD4CEA"/>
    <w:rsid w:val="00FD4DBD"/>
    <w:rsid w:val="00FD4DD2"/>
    <w:rsid w:val="00FD4ED9"/>
    <w:rsid w:val="00FD500D"/>
    <w:rsid w:val="00FD510E"/>
    <w:rsid w:val="00FD5864"/>
    <w:rsid w:val="00FD5A89"/>
    <w:rsid w:val="00FD5B5B"/>
    <w:rsid w:val="00FD5CED"/>
    <w:rsid w:val="00FD5DCC"/>
    <w:rsid w:val="00FD5EFF"/>
    <w:rsid w:val="00FD6157"/>
    <w:rsid w:val="00FD6457"/>
    <w:rsid w:val="00FD65EB"/>
    <w:rsid w:val="00FD66A2"/>
    <w:rsid w:val="00FD68ED"/>
    <w:rsid w:val="00FD6C6A"/>
    <w:rsid w:val="00FD6E89"/>
    <w:rsid w:val="00FD73C1"/>
    <w:rsid w:val="00FD7543"/>
    <w:rsid w:val="00FD7BD5"/>
    <w:rsid w:val="00FD7E1A"/>
    <w:rsid w:val="00FE0519"/>
    <w:rsid w:val="00FE054A"/>
    <w:rsid w:val="00FE0620"/>
    <w:rsid w:val="00FE072B"/>
    <w:rsid w:val="00FE091E"/>
    <w:rsid w:val="00FE0C25"/>
    <w:rsid w:val="00FE0FC6"/>
    <w:rsid w:val="00FE13DA"/>
    <w:rsid w:val="00FE154D"/>
    <w:rsid w:val="00FE16AE"/>
    <w:rsid w:val="00FE1865"/>
    <w:rsid w:val="00FE18CA"/>
    <w:rsid w:val="00FE1F61"/>
    <w:rsid w:val="00FE2001"/>
    <w:rsid w:val="00FE283B"/>
    <w:rsid w:val="00FE28D1"/>
    <w:rsid w:val="00FE2D2C"/>
    <w:rsid w:val="00FE2FA3"/>
    <w:rsid w:val="00FE304D"/>
    <w:rsid w:val="00FE3244"/>
    <w:rsid w:val="00FE3428"/>
    <w:rsid w:val="00FE35D5"/>
    <w:rsid w:val="00FE3857"/>
    <w:rsid w:val="00FE3DFC"/>
    <w:rsid w:val="00FE4041"/>
    <w:rsid w:val="00FE49B1"/>
    <w:rsid w:val="00FE4B62"/>
    <w:rsid w:val="00FE4E7D"/>
    <w:rsid w:val="00FE5323"/>
    <w:rsid w:val="00FE5460"/>
    <w:rsid w:val="00FE5499"/>
    <w:rsid w:val="00FE54AC"/>
    <w:rsid w:val="00FE54D4"/>
    <w:rsid w:val="00FE55BF"/>
    <w:rsid w:val="00FE57FF"/>
    <w:rsid w:val="00FE5BA4"/>
    <w:rsid w:val="00FE6031"/>
    <w:rsid w:val="00FE6136"/>
    <w:rsid w:val="00FE62E3"/>
    <w:rsid w:val="00FE62EF"/>
    <w:rsid w:val="00FE63B2"/>
    <w:rsid w:val="00FE642B"/>
    <w:rsid w:val="00FE69FF"/>
    <w:rsid w:val="00FE6C88"/>
    <w:rsid w:val="00FE6D25"/>
    <w:rsid w:val="00FE6D97"/>
    <w:rsid w:val="00FE6DC9"/>
    <w:rsid w:val="00FE6F0B"/>
    <w:rsid w:val="00FE71EE"/>
    <w:rsid w:val="00FE798F"/>
    <w:rsid w:val="00FE7ACA"/>
    <w:rsid w:val="00FE7C00"/>
    <w:rsid w:val="00FE7F1D"/>
    <w:rsid w:val="00FE7FC5"/>
    <w:rsid w:val="00FF0439"/>
    <w:rsid w:val="00FF0525"/>
    <w:rsid w:val="00FF0545"/>
    <w:rsid w:val="00FF08F3"/>
    <w:rsid w:val="00FF0CED"/>
    <w:rsid w:val="00FF0F22"/>
    <w:rsid w:val="00FF0FE8"/>
    <w:rsid w:val="00FF104F"/>
    <w:rsid w:val="00FF1718"/>
    <w:rsid w:val="00FF1A85"/>
    <w:rsid w:val="00FF1A93"/>
    <w:rsid w:val="00FF1AC5"/>
    <w:rsid w:val="00FF1CAF"/>
    <w:rsid w:val="00FF1F73"/>
    <w:rsid w:val="00FF2147"/>
    <w:rsid w:val="00FF234B"/>
    <w:rsid w:val="00FF2542"/>
    <w:rsid w:val="00FF25A5"/>
    <w:rsid w:val="00FF2CA8"/>
    <w:rsid w:val="00FF2CF3"/>
    <w:rsid w:val="00FF314E"/>
    <w:rsid w:val="00FF3295"/>
    <w:rsid w:val="00FF34C4"/>
    <w:rsid w:val="00FF350B"/>
    <w:rsid w:val="00FF3725"/>
    <w:rsid w:val="00FF37F7"/>
    <w:rsid w:val="00FF3CE5"/>
    <w:rsid w:val="00FF3E1E"/>
    <w:rsid w:val="00FF40F5"/>
    <w:rsid w:val="00FF45B4"/>
    <w:rsid w:val="00FF45BD"/>
    <w:rsid w:val="00FF46D6"/>
    <w:rsid w:val="00FF4758"/>
    <w:rsid w:val="00FF481E"/>
    <w:rsid w:val="00FF494D"/>
    <w:rsid w:val="00FF4B47"/>
    <w:rsid w:val="00FF4CC8"/>
    <w:rsid w:val="00FF4E6F"/>
    <w:rsid w:val="00FF507B"/>
    <w:rsid w:val="00FF5600"/>
    <w:rsid w:val="00FF5636"/>
    <w:rsid w:val="00FF5A19"/>
    <w:rsid w:val="00FF5B4A"/>
    <w:rsid w:val="00FF5C13"/>
    <w:rsid w:val="00FF5E54"/>
    <w:rsid w:val="00FF5F55"/>
    <w:rsid w:val="00FF62BC"/>
    <w:rsid w:val="00FF6469"/>
    <w:rsid w:val="00FF670A"/>
    <w:rsid w:val="00FF67D8"/>
    <w:rsid w:val="00FF6853"/>
    <w:rsid w:val="00FF69E8"/>
    <w:rsid w:val="00FF6BCD"/>
    <w:rsid w:val="00FF6CAB"/>
    <w:rsid w:val="00FF6D6D"/>
    <w:rsid w:val="00FF7277"/>
    <w:rsid w:val="00FF7521"/>
    <w:rsid w:val="00FF789D"/>
    <w:rsid w:val="00FF796A"/>
    <w:rsid w:val="00FF79AE"/>
    <w:rsid w:val="010A4A45"/>
    <w:rsid w:val="01B666C0"/>
    <w:rsid w:val="02C52BBF"/>
    <w:rsid w:val="039812A4"/>
    <w:rsid w:val="03D0263A"/>
    <w:rsid w:val="048B7A1B"/>
    <w:rsid w:val="04FE472A"/>
    <w:rsid w:val="05C3315A"/>
    <w:rsid w:val="07FC2920"/>
    <w:rsid w:val="0967434B"/>
    <w:rsid w:val="09710F4F"/>
    <w:rsid w:val="09CF6571"/>
    <w:rsid w:val="0B0228E8"/>
    <w:rsid w:val="0B595B5F"/>
    <w:rsid w:val="0C32180C"/>
    <w:rsid w:val="0D2B37DC"/>
    <w:rsid w:val="0D9F44AC"/>
    <w:rsid w:val="0ECC0A66"/>
    <w:rsid w:val="106D43EE"/>
    <w:rsid w:val="10A21CC8"/>
    <w:rsid w:val="11F528ED"/>
    <w:rsid w:val="124E5235"/>
    <w:rsid w:val="12BE625D"/>
    <w:rsid w:val="12D11408"/>
    <w:rsid w:val="12DC2C15"/>
    <w:rsid w:val="13D01632"/>
    <w:rsid w:val="142C500B"/>
    <w:rsid w:val="15C22C1B"/>
    <w:rsid w:val="16080BCA"/>
    <w:rsid w:val="16DB543E"/>
    <w:rsid w:val="16F92C63"/>
    <w:rsid w:val="17516817"/>
    <w:rsid w:val="17793FC0"/>
    <w:rsid w:val="18AF48D1"/>
    <w:rsid w:val="19EE47F1"/>
    <w:rsid w:val="1A4C1518"/>
    <w:rsid w:val="1A984791"/>
    <w:rsid w:val="1AA650CC"/>
    <w:rsid w:val="1C5F4DC5"/>
    <w:rsid w:val="1C8E24B8"/>
    <w:rsid w:val="1D9A25F8"/>
    <w:rsid w:val="1E1B308A"/>
    <w:rsid w:val="1EE37EAB"/>
    <w:rsid w:val="1FBE27BD"/>
    <w:rsid w:val="1FEB54F0"/>
    <w:rsid w:val="1FFF198F"/>
    <w:rsid w:val="201912C3"/>
    <w:rsid w:val="211B1C44"/>
    <w:rsid w:val="2185134A"/>
    <w:rsid w:val="21D137F2"/>
    <w:rsid w:val="23133415"/>
    <w:rsid w:val="23216BA1"/>
    <w:rsid w:val="233719ED"/>
    <w:rsid w:val="247753E3"/>
    <w:rsid w:val="25516845"/>
    <w:rsid w:val="25A850DA"/>
    <w:rsid w:val="26865DB2"/>
    <w:rsid w:val="26F63747"/>
    <w:rsid w:val="272C008B"/>
    <w:rsid w:val="28642D2C"/>
    <w:rsid w:val="28CA642A"/>
    <w:rsid w:val="29015BC3"/>
    <w:rsid w:val="2ABA6464"/>
    <w:rsid w:val="2AD90A25"/>
    <w:rsid w:val="2C482018"/>
    <w:rsid w:val="2DC75CB8"/>
    <w:rsid w:val="2DCB4C97"/>
    <w:rsid w:val="2DFB52D7"/>
    <w:rsid w:val="2E174BAB"/>
    <w:rsid w:val="2E927408"/>
    <w:rsid w:val="2F42274D"/>
    <w:rsid w:val="2FC72A13"/>
    <w:rsid w:val="2FEB6482"/>
    <w:rsid w:val="30023EC1"/>
    <w:rsid w:val="303E673D"/>
    <w:rsid w:val="304D2C50"/>
    <w:rsid w:val="32A26E1B"/>
    <w:rsid w:val="332D2C1D"/>
    <w:rsid w:val="33452BAA"/>
    <w:rsid w:val="33643964"/>
    <w:rsid w:val="33E6280B"/>
    <w:rsid w:val="33EB7D84"/>
    <w:rsid w:val="34525525"/>
    <w:rsid w:val="357F700F"/>
    <w:rsid w:val="372045FE"/>
    <w:rsid w:val="37213589"/>
    <w:rsid w:val="37586A34"/>
    <w:rsid w:val="380278C4"/>
    <w:rsid w:val="38124901"/>
    <w:rsid w:val="38905890"/>
    <w:rsid w:val="38B53505"/>
    <w:rsid w:val="38F61F27"/>
    <w:rsid w:val="399C6203"/>
    <w:rsid w:val="3A4B7556"/>
    <w:rsid w:val="3BE23632"/>
    <w:rsid w:val="3C1001A0"/>
    <w:rsid w:val="3C7B22A7"/>
    <w:rsid w:val="3D1A502D"/>
    <w:rsid w:val="3D805CA2"/>
    <w:rsid w:val="3DE2791A"/>
    <w:rsid w:val="3E6226B8"/>
    <w:rsid w:val="3FFC3970"/>
    <w:rsid w:val="40393ACA"/>
    <w:rsid w:val="41475AE3"/>
    <w:rsid w:val="42206453"/>
    <w:rsid w:val="42EB54C2"/>
    <w:rsid w:val="43F263DD"/>
    <w:rsid w:val="44114AB5"/>
    <w:rsid w:val="45043F2E"/>
    <w:rsid w:val="450E793B"/>
    <w:rsid w:val="4594599D"/>
    <w:rsid w:val="45A27B60"/>
    <w:rsid w:val="467A13D8"/>
    <w:rsid w:val="46907F16"/>
    <w:rsid w:val="49747FC0"/>
    <w:rsid w:val="499C3073"/>
    <w:rsid w:val="4A2F6FAC"/>
    <w:rsid w:val="4A3C7785"/>
    <w:rsid w:val="4A653DAC"/>
    <w:rsid w:val="4B4C4049"/>
    <w:rsid w:val="4BE46664"/>
    <w:rsid w:val="4D440B96"/>
    <w:rsid w:val="4DD26021"/>
    <w:rsid w:val="4E7C7CA0"/>
    <w:rsid w:val="4EB96139"/>
    <w:rsid w:val="4F2845B0"/>
    <w:rsid w:val="4F62695E"/>
    <w:rsid w:val="4FDF69C5"/>
    <w:rsid w:val="500965C1"/>
    <w:rsid w:val="51ED42B8"/>
    <w:rsid w:val="52613865"/>
    <w:rsid w:val="533A5BFF"/>
    <w:rsid w:val="553B1520"/>
    <w:rsid w:val="55A23AB2"/>
    <w:rsid w:val="5610181E"/>
    <w:rsid w:val="57C2283E"/>
    <w:rsid w:val="57CC7219"/>
    <w:rsid w:val="57D1482F"/>
    <w:rsid w:val="59725B9E"/>
    <w:rsid w:val="5A2B38E1"/>
    <w:rsid w:val="5AC73CC7"/>
    <w:rsid w:val="5AEB3E2F"/>
    <w:rsid w:val="5B433F7F"/>
    <w:rsid w:val="5B737973"/>
    <w:rsid w:val="5B9718EC"/>
    <w:rsid w:val="5C764730"/>
    <w:rsid w:val="5C782F7E"/>
    <w:rsid w:val="5CDD5419"/>
    <w:rsid w:val="5D371014"/>
    <w:rsid w:val="5D666ED7"/>
    <w:rsid w:val="5E9D36BD"/>
    <w:rsid w:val="5EAC0D4E"/>
    <w:rsid w:val="5EEB120D"/>
    <w:rsid w:val="60C827FB"/>
    <w:rsid w:val="615D045C"/>
    <w:rsid w:val="6181080F"/>
    <w:rsid w:val="61DE680C"/>
    <w:rsid w:val="635473EC"/>
    <w:rsid w:val="639F1C85"/>
    <w:rsid w:val="64502F80"/>
    <w:rsid w:val="65312DB1"/>
    <w:rsid w:val="65BE7968"/>
    <w:rsid w:val="65E95143"/>
    <w:rsid w:val="660B715E"/>
    <w:rsid w:val="660D356E"/>
    <w:rsid w:val="668F7D8F"/>
    <w:rsid w:val="68AB1215"/>
    <w:rsid w:val="696279DD"/>
    <w:rsid w:val="69C9441B"/>
    <w:rsid w:val="6A06355D"/>
    <w:rsid w:val="6A2E434E"/>
    <w:rsid w:val="6A5A7C06"/>
    <w:rsid w:val="6C691082"/>
    <w:rsid w:val="6CE732C4"/>
    <w:rsid w:val="6D496B1C"/>
    <w:rsid w:val="6DF64B98"/>
    <w:rsid w:val="6E6B7A0B"/>
    <w:rsid w:val="6FC91951"/>
    <w:rsid w:val="70676F63"/>
    <w:rsid w:val="717604C9"/>
    <w:rsid w:val="717C53B4"/>
    <w:rsid w:val="71995F66"/>
    <w:rsid w:val="72A77595"/>
    <w:rsid w:val="75750A98"/>
    <w:rsid w:val="76401F3D"/>
    <w:rsid w:val="76CD2E32"/>
    <w:rsid w:val="7A803DB4"/>
    <w:rsid w:val="7AE601BD"/>
    <w:rsid w:val="7B060D46"/>
    <w:rsid w:val="7C647A05"/>
    <w:rsid w:val="7D4E468D"/>
    <w:rsid w:val="7D5F51FC"/>
    <w:rsid w:val="7ED00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FD71DD7"/>
  <w15:docId w15:val="{1A4A4B37-F800-40A3-8F47-CBC4FA42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0" w:qFormat="1"/>
    <w:lsdException w:name="line number" w:semiHidden="1" w:unhideWhenUsed="1" w:qFormat="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uiPriority="0" w:qFormat="1"/>
    <w:lsdException w:name="Strong" w:uiPriority="0" w:qFormat="1"/>
    <w:lsdException w:name="Emphasis" w:uiPriority="2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qFormat="1"/>
    <w:lsdException w:name="Table List 1" w:semiHidden="1" w:unhideWhenUsed="1"/>
    <w:lsdException w:name="Table List 2" w:semiHidden="1" w:unhideWhenUsed="1"/>
    <w:lsdException w:name="Table List 3" w:semiHidden="1" w:uiPriority="0"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iPriority="0" w:unhideWhenUsed="1"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kern w:val="2"/>
      <w:sz w:val="21"/>
      <w:szCs w:val="24"/>
    </w:rPr>
  </w:style>
  <w:style w:type="paragraph" w:styleId="1">
    <w:name w:val="heading 1"/>
    <w:basedOn w:val="a"/>
    <w:next w:val="a"/>
    <w:link w:val="10"/>
    <w:autoRedefine/>
    <w:qFormat/>
    <w:pPr>
      <w:keepNext/>
      <w:keepLines/>
      <w:shd w:val="clear" w:color="auto" w:fill="FFFFFF"/>
      <w:topLinePunct/>
      <w:snapToGrid w:val="0"/>
      <w:spacing w:before="312" w:after="900"/>
      <w:jc w:val="center"/>
      <w:outlineLvl w:val="0"/>
    </w:pPr>
    <w:rPr>
      <w:rFonts w:eastAsia="黑体"/>
      <w:kern w:val="44"/>
      <w:sz w:val="44"/>
      <w:szCs w:val="20"/>
    </w:rPr>
  </w:style>
  <w:style w:type="paragraph" w:styleId="2">
    <w:name w:val="heading 2"/>
    <w:basedOn w:val="a"/>
    <w:next w:val="a"/>
    <w:link w:val="20"/>
    <w:uiPriority w:val="9"/>
    <w:qFormat/>
    <w:pPr>
      <w:keepNext/>
      <w:keepLines/>
      <w:topLinePunct/>
      <w:snapToGrid w:val="0"/>
      <w:spacing w:before="500" w:after="310"/>
      <w:ind w:firstLineChars="0" w:firstLine="0"/>
      <w:outlineLvl w:val="1"/>
    </w:pPr>
    <w:rPr>
      <w:rFonts w:eastAsia="仿宋_GB2312"/>
      <w:sz w:val="32"/>
      <w:szCs w:val="20"/>
      <w:u w:color="999999"/>
    </w:rPr>
  </w:style>
  <w:style w:type="paragraph" w:styleId="3">
    <w:name w:val="heading 3"/>
    <w:basedOn w:val="a"/>
    <w:next w:val="a"/>
    <w:link w:val="30"/>
    <w:autoRedefine/>
    <w:qFormat/>
    <w:pPr>
      <w:keepLines/>
      <w:topLinePunct/>
      <w:snapToGrid w:val="0"/>
      <w:spacing w:before="320" w:after="200"/>
      <w:outlineLvl w:val="2"/>
    </w:pPr>
    <w:rPr>
      <w:rFonts w:eastAsia="楷体_GB2312"/>
      <w:sz w:val="28"/>
      <w:szCs w:val="20"/>
    </w:rPr>
  </w:style>
  <w:style w:type="paragraph" w:styleId="4">
    <w:name w:val="heading 4"/>
    <w:basedOn w:val="a"/>
    <w:next w:val="a"/>
    <w:link w:val="40"/>
    <w:autoRedefine/>
    <w:uiPriority w:val="9"/>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autoRedefine/>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qFormat/>
    <w:pPr>
      <w:spacing w:line="240" w:lineRule="auto"/>
      <w:ind w:firstLineChars="0" w:firstLine="0"/>
      <w:jc w:val="center"/>
    </w:pPr>
    <w:rPr>
      <w:sz w:val="18"/>
      <w:szCs w:val="18"/>
    </w:rPr>
  </w:style>
  <w:style w:type="paragraph" w:styleId="a3">
    <w:name w:val="Normal Indent"/>
    <w:basedOn w:val="a"/>
    <w:autoRedefine/>
    <w:uiPriority w:val="99"/>
    <w:qFormat/>
    <w:pPr>
      <w:ind w:firstLine="420"/>
    </w:pPr>
    <w:rPr>
      <w:szCs w:val="21"/>
    </w:rPr>
  </w:style>
  <w:style w:type="paragraph" w:styleId="a4">
    <w:name w:val="caption"/>
    <w:basedOn w:val="a"/>
    <w:next w:val="a"/>
    <w:link w:val="a5"/>
    <w:autoRedefine/>
    <w:uiPriority w:val="35"/>
    <w:qFormat/>
    <w:rsid w:val="002B0D05"/>
    <w:pPr>
      <w:spacing w:beforeLines="50" w:before="156"/>
      <w:ind w:firstLineChars="0" w:firstLine="0"/>
      <w:jc w:val="center"/>
    </w:pPr>
    <w:rPr>
      <w:rFonts w:eastAsiaTheme="minorEastAsia"/>
      <w:color w:val="000000" w:themeColor="text1"/>
      <w:szCs w:val="21"/>
    </w:rPr>
  </w:style>
  <w:style w:type="paragraph" w:styleId="a6">
    <w:name w:val="Document Map"/>
    <w:basedOn w:val="a"/>
    <w:link w:val="a7"/>
    <w:autoRedefine/>
    <w:uiPriority w:val="99"/>
    <w:semiHidden/>
    <w:qFormat/>
    <w:pPr>
      <w:shd w:val="clear" w:color="auto" w:fill="000080"/>
    </w:pPr>
  </w:style>
  <w:style w:type="paragraph" w:styleId="a8">
    <w:name w:val="annotation text"/>
    <w:basedOn w:val="a"/>
    <w:link w:val="a9"/>
    <w:autoRedefine/>
    <w:uiPriority w:val="99"/>
    <w:qFormat/>
    <w:pPr>
      <w:jc w:val="left"/>
    </w:pPr>
  </w:style>
  <w:style w:type="paragraph" w:styleId="aa">
    <w:name w:val="Body Text"/>
    <w:basedOn w:val="a"/>
    <w:link w:val="ab"/>
    <w:autoRedefine/>
    <w:uiPriority w:val="99"/>
    <w:qFormat/>
    <w:pPr>
      <w:spacing w:line="320" w:lineRule="exact"/>
      <w:jc w:val="center"/>
    </w:pPr>
    <w:rPr>
      <w:b/>
      <w:caps/>
      <w:szCs w:val="20"/>
    </w:rPr>
  </w:style>
  <w:style w:type="paragraph" w:styleId="ac">
    <w:name w:val="Body Text Indent"/>
    <w:basedOn w:val="a"/>
    <w:link w:val="ad"/>
    <w:autoRedefine/>
    <w:uiPriority w:val="99"/>
    <w:qFormat/>
    <w:pPr>
      <w:tabs>
        <w:tab w:val="left" w:pos="735"/>
      </w:tabs>
      <w:ind w:left="630"/>
    </w:pPr>
    <w:rPr>
      <w:szCs w:val="20"/>
    </w:rPr>
  </w:style>
  <w:style w:type="paragraph" w:styleId="TOC5">
    <w:name w:val="toc 5"/>
    <w:basedOn w:val="a"/>
    <w:next w:val="a"/>
    <w:autoRedefine/>
    <w:uiPriority w:val="39"/>
    <w:qFormat/>
    <w:pPr>
      <w:ind w:left="840"/>
      <w:jc w:val="center"/>
    </w:pPr>
    <w:rPr>
      <w:sz w:val="18"/>
      <w:szCs w:val="18"/>
    </w:rPr>
  </w:style>
  <w:style w:type="paragraph" w:styleId="TOC3">
    <w:name w:val="toc 3"/>
    <w:basedOn w:val="a"/>
    <w:next w:val="a"/>
    <w:autoRedefine/>
    <w:uiPriority w:val="39"/>
    <w:qFormat/>
    <w:pPr>
      <w:tabs>
        <w:tab w:val="right" w:leader="dot" w:pos="8296"/>
      </w:tabs>
      <w:ind w:leftChars="204" w:left="428" w:firstLine="400"/>
      <w:jc w:val="left"/>
    </w:pPr>
    <w:rPr>
      <w:iCs/>
      <w:sz w:val="20"/>
      <w:szCs w:val="20"/>
    </w:rPr>
  </w:style>
  <w:style w:type="paragraph" w:styleId="ae">
    <w:name w:val="Plain Text"/>
    <w:basedOn w:val="a"/>
    <w:link w:val="af"/>
    <w:autoRedefine/>
    <w:uiPriority w:val="99"/>
    <w:qFormat/>
    <w:rPr>
      <w:rFonts w:ascii="宋体" w:hAnsi="Courier New"/>
      <w:szCs w:val="20"/>
    </w:rPr>
  </w:style>
  <w:style w:type="paragraph" w:styleId="TOC8">
    <w:name w:val="toc 8"/>
    <w:basedOn w:val="a"/>
    <w:next w:val="a"/>
    <w:autoRedefine/>
    <w:uiPriority w:val="39"/>
    <w:qFormat/>
    <w:pPr>
      <w:ind w:left="1470"/>
      <w:jc w:val="left"/>
    </w:pPr>
    <w:rPr>
      <w:sz w:val="18"/>
      <w:szCs w:val="18"/>
    </w:rPr>
  </w:style>
  <w:style w:type="paragraph" w:styleId="af0">
    <w:name w:val="Date"/>
    <w:basedOn w:val="a"/>
    <w:next w:val="a"/>
    <w:link w:val="af1"/>
    <w:autoRedefine/>
    <w:uiPriority w:val="99"/>
    <w:qFormat/>
    <w:rPr>
      <w:szCs w:val="21"/>
    </w:rPr>
  </w:style>
  <w:style w:type="paragraph" w:styleId="21">
    <w:name w:val="Body Text Indent 2"/>
    <w:basedOn w:val="a"/>
    <w:link w:val="22"/>
    <w:uiPriority w:val="99"/>
    <w:qFormat/>
    <w:pPr>
      <w:ind w:left="210" w:firstLine="420"/>
    </w:pPr>
    <w:rPr>
      <w:rFonts w:ascii="宋体" w:hAnsi="宋体" w:cs="宋体"/>
      <w:szCs w:val="21"/>
    </w:rPr>
  </w:style>
  <w:style w:type="paragraph" w:styleId="af2">
    <w:name w:val="endnote text"/>
    <w:basedOn w:val="a"/>
    <w:link w:val="af3"/>
    <w:autoRedefine/>
    <w:qFormat/>
    <w:rPr>
      <w:rFonts w:eastAsia="PMingLiU"/>
      <w:sz w:val="20"/>
      <w:szCs w:val="20"/>
    </w:rPr>
  </w:style>
  <w:style w:type="paragraph" w:styleId="af4">
    <w:name w:val="Balloon Text"/>
    <w:basedOn w:val="a"/>
    <w:link w:val="af5"/>
    <w:autoRedefine/>
    <w:uiPriority w:val="99"/>
    <w:semiHidden/>
    <w:qFormat/>
    <w:rPr>
      <w:sz w:val="18"/>
      <w:szCs w:val="18"/>
    </w:rPr>
  </w:style>
  <w:style w:type="paragraph" w:styleId="af6">
    <w:name w:val="footer"/>
    <w:basedOn w:val="a"/>
    <w:link w:val="af7"/>
    <w:autoRedefine/>
    <w:uiPriority w:val="99"/>
    <w:qFormat/>
    <w:pPr>
      <w:tabs>
        <w:tab w:val="center" w:pos="4153"/>
        <w:tab w:val="right" w:pos="8306"/>
      </w:tabs>
      <w:snapToGrid w:val="0"/>
      <w:jc w:val="left"/>
    </w:pPr>
    <w:rPr>
      <w:sz w:val="18"/>
      <w:szCs w:val="18"/>
    </w:rPr>
  </w:style>
  <w:style w:type="paragraph" w:styleId="af8">
    <w:name w:val="header"/>
    <w:basedOn w:val="a"/>
    <w:link w:val="af9"/>
    <w:autoRedefine/>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qFormat/>
    <w:pPr>
      <w:tabs>
        <w:tab w:val="left" w:pos="904"/>
        <w:tab w:val="right" w:leader="dot" w:pos="8296"/>
      </w:tabs>
      <w:spacing w:before="120" w:after="120"/>
      <w:ind w:leftChars="100" w:left="210" w:rightChars="100" w:right="210" w:firstLineChars="0" w:firstLine="0"/>
      <w:jc w:val="center"/>
    </w:pPr>
    <w:rPr>
      <w:rFonts w:eastAsia="仿宋_GB2312"/>
      <w:b/>
      <w:bCs/>
      <w:caps/>
      <w:sz w:val="28"/>
      <w:szCs w:val="28"/>
    </w:rPr>
  </w:style>
  <w:style w:type="paragraph" w:styleId="TOC4">
    <w:name w:val="toc 4"/>
    <w:basedOn w:val="a"/>
    <w:next w:val="a"/>
    <w:autoRedefine/>
    <w:uiPriority w:val="39"/>
    <w:qFormat/>
    <w:pPr>
      <w:ind w:left="630"/>
      <w:jc w:val="left"/>
    </w:pPr>
    <w:rPr>
      <w:sz w:val="18"/>
      <w:szCs w:val="18"/>
    </w:rPr>
  </w:style>
  <w:style w:type="paragraph" w:styleId="afa">
    <w:name w:val="Subtitle"/>
    <w:basedOn w:val="a"/>
    <w:next w:val="a"/>
    <w:link w:val="afb"/>
    <w:autoRedefine/>
    <w:qFormat/>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fc">
    <w:name w:val="footnote text"/>
    <w:basedOn w:val="a"/>
    <w:link w:val="afd"/>
    <w:autoRedefine/>
    <w:uiPriority w:val="99"/>
    <w:qFormat/>
    <w:pPr>
      <w:keepLines/>
      <w:wordWrap w:val="0"/>
      <w:snapToGrid w:val="0"/>
      <w:spacing w:line="240" w:lineRule="auto"/>
      <w:ind w:firstLineChars="0" w:firstLine="0"/>
    </w:pPr>
    <w:rPr>
      <w:sz w:val="18"/>
      <w:szCs w:val="18"/>
    </w:rPr>
  </w:style>
  <w:style w:type="paragraph" w:styleId="TOC6">
    <w:name w:val="toc 6"/>
    <w:basedOn w:val="a"/>
    <w:next w:val="a"/>
    <w:autoRedefine/>
    <w:uiPriority w:val="39"/>
    <w:qFormat/>
    <w:pPr>
      <w:ind w:left="1050"/>
      <w:jc w:val="left"/>
    </w:pPr>
    <w:rPr>
      <w:sz w:val="18"/>
      <w:szCs w:val="18"/>
    </w:rPr>
  </w:style>
  <w:style w:type="paragraph" w:styleId="31">
    <w:name w:val="Body Text Indent 3"/>
    <w:basedOn w:val="a"/>
    <w:link w:val="32"/>
    <w:autoRedefine/>
    <w:uiPriority w:val="99"/>
    <w:qFormat/>
    <w:pPr>
      <w:ind w:left="105" w:firstLine="420"/>
    </w:pPr>
    <w:rPr>
      <w:rFonts w:ascii="宋体" w:hAnsi="宋体"/>
      <w:szCs w:val="20"/>
    </w:rPr>
  </w:style>
  <w:style w:type="paragraph" w:styleId="afe">
    <w:name w:val="table of figures"/>
    <w:basedOn w:val="a"/>
    <w:next w:val="a"/>
    <w:autoRedefine/>
    <w:uiPriority w:val="99"/>
    <w:qFormat/>
    <w:pPr>
      <w:ind w:left="420" w:hanging="420"/>
      <w:jc w:val="left"/>
    </w:pPr>
    <w:rPr>
      <w:smallCaps/>
      <w:sz w:val="20"/>
      <w:szCs w:val="20"/>
    </w:rPr>
  </w:style>
  <w:style w:type="paragraph" w:styleId="TOC2">
    <w:name w:val="toc 2"/>
    <w:basedOn w:val="a"/>
    <w:next w:val="a"/>
    <w:autoRedefine/>
    <w:uiPriority w:val="39"/>
    <w:qFormat/>
    <w:pPr>
      <w:tabs>
        <w:tab w:val="left" w:pos="1470"/>
        <w:tab w:val="right" w:leader="dot" w:pos="8296"/>
      </w:tabs>
      <w:ind w:leftChars="100" w:left="210" w:rightChars="100" w:right="210" w:firstLine="400"/>
      <w:jc w:val="left"/>
    </w:pPr>
    <w:rPr>
      <w:rFonts w:ascii="黑体" w:eastAsia="黑体" w:hAnsi="黑体"/>
      <w:smallCaps/>
      <w:sz w:val="20"/>
      <w:szCs w:val="20"/>
    </w:rPr>
  </w:style>
  <w:style w:type="paragraph" w:styleId="TOC9">
    <w:name w:val="toc 9"/>
    <w:basedOn w:val="a"/>
    <w:next w:val="a"/>
    <w:autoRedefine/>
    <w:uiPriority w:val="39"/>
    <w:qFormat/>
    <w:pPr>
      <w:ind w:left="1680"/>
      <w:jc w:val="left"/>
    </w:pPr>
    <w:rPr>
      <w:sz w:val="18"/>
      <w:szCs w:val="18"/>
    </w:rPr>
  </w:style>
  <w:style w:type="paragraph" w:styleId="HTML">
    <w:name w:val="HTML Preformatted"/>
    <w:basedOn w:val="a"/>
    <w:link w:val="HTML0"/>
    <w:autoRedefine/>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
    <w:name w:val="Normal (Web)"/>
    <w:basedOn w:val="a"/>
    <w:autoRedefine/>
    <w:uiPriority w:val="99"/>
    <w:qFormat/>
    <w:pPr>
      <w:widowControl/>
      <w:spacing w:before="100" w:beforeAutospacing="1" w:after="100" w:afterAutospacing="1"/>
      <w:jc w:val="left"/>
    </w:pPr>
    <w:rPr>
      <w:rFonts w:ascii="PMingLiU" w:eastAsia="PMingLiU" w:hAnsi="PMingLiU" w:cs="PMingLiU"/>
      <w:kern w:val="0"/>
      <w:sz w:val="24"/>
      <w:lang w:eastAsia="zh-TW"/>
    </w:rPr>
  </w:style>
  <w:style w:type="paragraph" w:styleId="aff0">
    <w:name w:val="Title"/>
    <w:basedOn w:val="a"/>
    <w:link w:val="aff1"/>
    <w:autoRedefine/>
    <w:uiPriority w:val="99"/>
    <w:qFormat/>
    <w:pPr>
      <w:spacing w:line="320" w:lineRule="exact"/>
      <w:jc w:val="center"/>
      <w:outlineLvl w:val="0"/>
    </w:pPr>
    <w:rPr>
      <w:rFonts w:ascii="隶书" w:eastAsia="隶书"/>
      <w:color w:val="000000"/>
      <w:kern w:val="0"/>
      <w:sz w:val="36"/>
      <w:szCs w:val="20"/>
    </w:rPr>
  </w:style>
  <w:style w:type="paragraph" w:styleId="aff2">
    <w:name w:val="annotation subject"/>
    <w:basedOn w:val="a8"/>
    <w:next w:val="a8"/>
    <w:link w:val="aff3"/>
    <w:autoRedefine/>
    <w:uiPriority w:val="99"/>
    <w:qFormat/>
    <w:rPr>
      <w:b/>
      <w:bCs/>
    </w:rPr>
  </w:style>
  <w:style w:type="table" w:styleId="aff4">
    <w:name w:val="Table Grid"/>
    <w:basedOn w:val="a1"/>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Theme"/>
    <w:basedOn w:val="a1"/>
    <w:autoRedefine/>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1"/>
    <w:autoRedefine/>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2">
    <w:name w:val="Table Simple 1"/>
    <w:basedOn w:val="a1"/>
    <w:autoRedefine/>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33">
    <w:name w:val="Table List 3"/>
    <w:basedOn w:val="a1"/>
    <w:autoRedefine/>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8">
    <w:name w:val="Table Grid 8"/>
    <w:basedOn w:val="a1"/>
    <w:autoRedefine/>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3">
    <w:name w:val="Light Shading Accent 3"/>
    <w:basedOn w:val="a1"/>
    <w:autoRedefine/>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1"/>
    <w:autoRedefine/>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1"/>
    <w:autoRedefine/>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List Accent 6"/>
    <w:basedOn w:val="a1"/>
    <w:autoRedefine/>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50">
    <w:name w:val="Light Grid Accent 5"/>
    <w:basedOn w:val="a1"/>
    <w:autoRedefine/>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1-6">
    <w:name w:val="Medium Shading 1 Accent 6"/>
    <w:basedOn w:val="a1"/>
    <w:autoRedefine/>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3-1">
    <w:name w:val="Medium Grid 3 Accent 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5">
    <w:name w:val="Medium Grid 3 Accent 5"/>
    <w:basedOn w:val="a1"/>
    <w:autoRedefine/>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51">
    <w:name w:val="Colorful Shading Accent 5"/>
    <w:basedOn w:val="a1"/>
    <w:autoRedefine/>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character" w:styleId="aff6">
    <w:name w:val="Strong"/>
    <w:autoRedefine/>
    <w:qFormat/>
    <w:rPr>
      <w:b/>
      <w:bCs/>
    </w:rPr>
  </w:style>
  <w:style w:type="character" w:styleId="aff7">
    <w:name w:val="endnote reference"/>
    <w:basedOn w:val="a0"/>
    <w:qFormat/>
    <w:rPr>
      <w:rFonts w:cs="Times New Roman"/>
      <w:vertAlign w:val="superscript"/>
    </w:rPr>
  </w:style>
  <w:style w:type="character" w:styleId="aff8">
    <w:name w:val="page number"/>
    <w:basedOn w:val="a0"/>
    <w:autoRedefine/>
    <w:qFormat/>
    <w:rPr>
      <w:rFonts w:cs="Times New Roman"/>
    </w:rPr>
  </w:style>
  <w:style w:type="character" w:styleId="aff9">
    <w:name w:val="FollowedHyperlink"/>
    <w:basedOn w:val="a0"/>
    <w:autoRedefine/>
    <w:qFormat/>
    <w:rPr>
      <w:rFonts w:cs="Times New Roman"/>
      <w:color w:val="800080"/>
      <w:u w:val="single"/>
    </w:rPr>
  </w:style>
  <w:style w:type="character" w:styleId="affa">
    <w:name w:val="Emphasis"/>
    <w:basedOn w:val="a0"/>
    <w:autoRedefine/>
    <w:uiPriority w:val="20"/>
    <w:qFormat/>
    <w:rPr>
      <w:i/>
      <w:iCs/>
    </w:rPr>
  </w:style>
  <w:style w:type="character" w:styleId="affb">
    <w:name w:val="line number"/>
    <w:basedOn w:val="a0"/>
    <w:autoRedefine/>
    <w:uiPriority w:val="99"/>
    <w:semiHidden/>
    <w:unhideWhenUsed/>
    <w:qFormat/>
  </w:style>
  <w:style w:type="character" w:styleId="affc">
    <w:name w:val="Hyperlink"/>
    <w:basedOn w:val="a0"/>
    <w:uiPriority w:val="99"/>
    <w:qFormat/>
    <w:rPr>
      <w:rFonts w:cs="Times New Roman"/>
      <w:color w:val="0000FF"/>
      <w:u w:val="single"/>
    </w:rPr>
  </w:style>
  <w:style w:type="character" w:styleId="affd">
    <w:name w:val="annotation reference"/>
    <w:basedOn w:val="a0"/>
    <w:autoRedefine/>
    <w:qFormat/>
    <w:rPr>
      <w:rFonts w:cs="Times New Roman"/>
      <w:sz w:val="21"/>
      <w:szCs w:val="21"/>
    </w:rPr>
  </w:style>
  <w:style w:type="character" w:styleId="affe">
    <w:name w:val="footnote reference"/>
    <w:basedOn w:val="a0"/>
    <w:autoRedefine/>
    <w:uiPriority w:val="99"/>
    <w:qFormat/>
    <w:rPr>
      <w:rFonts w:cs="Times New Roman"/>
      <w:vertAlign w:val="superscript"/>
    </w:rPr>
  </w:style>
  <w:style w:type="character" w:customStyle="1" w:styleId="10">
    <w:name w:val="标题 1 字符"/>
    <w:basedOn w:val="a0"/>
    <w:link w:val="1"/>
    <w:autoRedefine/>
    <w:qFormat/>
    <w:rPr>
      <w:rFonts w:eastAsia="黑体"/>
      <w:kern w:val="44"/>
      <w:sz w:val="44"/>
      <w:shd w:val="clear" w:color="auto" w:fill="FFFFFF"/>
    </w:rPr>
  </w:style>
  <w:style w:type="character" w:customStyle="1" w:styleId="2Char">
    <w:name w:val="标题 2 Char"/>
    <w:basedOn w:val="a0"/>
    <w:autoRedefine/>
    <w:uiPriority w:val="9"/>
    <w:qFormat/>
    <w:rPr>
      <w:rFonts w:asciiTheme="majorHAnsi" w:eastAsiaTheme="majorEastAsia" w:hAnsiTheme="majorHAnsi" w:cstheme="majorBidi"/>
      <w:b/>
      <w:bCs/>
      <w:kern w:val="2"/>
      <w:sz w:val="32"/>
      <w:szCs w:val="32"/>
    </w:rPr>
  </w:style>
  <w:style w:type="character" w:customStyle="1" w:styleId="30">
    <w:name w:val="标题 3 字符"/>
    <w:basedOn w:val="a0"/>
    <w:link w:val="3"/>
    <w:autoRedefine/>
    <w:qFormat/>
    <w:rPr>
      <w:rFonts w:eastAsia="楷体_GB2312"/>
      <w:kern w:val="2"/>
      <w:sz w:val="28"/>
    </w:rPr>
  </w:style>
  <w:style w:type="character" w:customStyle="1" w:styleId="40">
    <w:name w:val="标题 4 字符"/>
    <w:basedOn w:val="a0"/>
    <w:link w:val="4"/>
    <w:autoRedefine/>
    <w:uiPriority w:val="9"/>
    <w:qFormat/>
    <w:rPr>
      <w:rFonts w:ascii="Arial" w:eastAsia="黑体" w:hAnsi="Arial"/>
      <w:b/>
      <w:bCs/>
      <w:kern w:val="2"/>
      <w:sz w:val="28"/>
      <w:szCs w:val="28"/>
    </w:rPr>
  </w:style>
  <w:style w:type="character" w:customStyle="1" w:styleId="50">
    <w:name w:val="标题 5 字符"/>
    <w:basedOn w:val="a0"/>
    <w:link w:val="5"/>
    <w:autoRedefine/>
    <w:qFormat/>
    <w:rPr>
      <w:b/>
      <w:bCs/>
      <w:kern w:val="2"/>
      <w:sz w:val="28"/>
      <w:szCs w:val="28"/>
    </w:rPr>
  </w:style>
  <w:style w:type="character" w:customStyle="1" w:styleId="20">
    <w:name w:val="标题 2 字符"/>
    <w:basedOn w:val="a0"/>
    <w:link w:val="2"/>
    <w:autoRedefine/>
    <w:uiPriority w:val="9"/>
    <w:qFormat/>
    <w:locked/>
    <w:rPr>
      <w:rFonts w:eastAsia="仿宋_GB2312"/>
      <w:kern w:val="2"/>
      <w:sz w:val="32"/>
      <w:u w:color="999999"/>
    </w:rPr>
  </w:style>
  <w:style w:type="character" w:customStyle="1" w:styleId="af5">
    <w:name w:val="批注框文本 字符"/>
    <w:basedOn w:val="a0"/>
    <w:link w:val="af4"/>
    <w:autoRedefine/>
    <w:uiPriority w:val="99"/>
    <w:semiHidden/>
    <w:qFormat/>
    <w:rPr>
      <w:kern w:val="2"/>
      <w:sz w:val="18"/>
      <w:szCs w:val="18"/>
    </w:rPr>
  </w:style>
  <w:style w:type="character" w:customStyle="1" w:styleId="af9">
    <w:name w:val="页眉 字符"/>
    <w:basedOn w:val="a0"/>
    <w:link w:val="af8"/>
    <w:autoRedefine/>
    <w:uiPriority w:val="99"/>
    <w:qFormat/>
    <w:rPr>
      <w:kern w:val="2"/>
      <w:sz w:val="18"/>
      <w:szCs w:val="18"/>
    </w:rPr>
  </w:style>
  <w:style w:type="character" w:customStyle="1" w:styleId="af7">
    <w:name w:val="页脚 字符"/>
    <w:basedOn w:val="a0"/>
    <w:link w:val="af6"/>
    <w:autoRedefine/>
    <w:uiPriority w:val="99"/>
    <w:qFormat/>
    <w:rPr>
      <w:kern w:val="2"/>
      <w:sz w:val="18"/>
      <w:szCs w:val="18"/>
    </w:rPr>
  </w:style>
  <w:style w:type="character" w:customStyle="1" w:styleId="af1">
    <w:name w:val="日期 字符"/>
    <w:basedOn w:val="a0"/>
    <w:link w:val="af0"/>
    <w:autoRedefine/>
    <w:uiPriority w:val="99"/>
    <w:qFormat/>
    <w:rPr>
      <w:kern w:val="2"/>
      <w:sz w:val="21"/>
      <w:szCs w:val="21"/>
    </w:rPr>
  </w:style>
  <w:style w:type="character" w:customStyle="1" w:styleId="22">
    <w:name w:val="正文文本缩进 2 字符"/>
    <w:basedOn w:val="a0"/>
    <w:link w:val="21"/>
    <w:autoRedefine/>
    <w:uiPriority w:val="99"/>
    <w:qFormat/>
    <w:rPr>
      <w:rFonts w:ascii="宋体" w:hAnsi="宋体" w:cs="宋体"/>
      <w:kern w:val="2"/>
      <w:sz w:val="21"/>
      <w:szCs w:val="21"/>
    </w:rPr>
  </w:style>
  <w:style w:type="character" w:customStyle="1" w:styleId="afd">
    <w:name w:val="脚注文本 字符"/>
    <w:basedOn w:val="a0"/>
    <w:link w:val="afc"/>
    <w:autoRedefine/>
    <w:uiPriority w:val="99"/>
    <w:qFormat/>
    <w:rPr>
      <w:kern w:val="2"/>
      <w:sz w:val="18"/>
      <w:szCs w:val="18"/>
    </w:rPr>
  </w:style>
  <w:style w:type="paragraph" w:customStyle="1" w:styleId="afff">
    <w:name w:val="图注"/>
    <w:basedOn w:val="a"/>
    <w:next w:val="a"/>
    <w:autoRedefine/>
    <w:uiPriority w:val="99"/>
    <w:qFormat/>
    <w:pPr>
      <w:topLinePunct/>
      <w:snapToGrid w:val="0"/>
      <w:spacing w:before="120" w:after="120"/>
      <w:jc w:val="center"/>
    </w:pPr>
    <w:rPr>
      <w:sz w:val="15"/>
      <w:szCs w:val="20"/>
    </w:rPr>
  </w:style>
  <w:style w:type="character" w:customStyle="1" w:styleId="a7">
    <w:name w:val="文档结构图 字符"/>
    <w:basedOn w:val="a0"/>
    <w:link w:val="a6"/>
    <w:autoRedefine/>
    <w:uiPriority w:val="99"/>
    <w:semiHidden/>
    <w:qFormat/>
    <w:rPr>
      <w:kern w:val="2"/>
      <w:sz w:val="21"/>
      <w:szCs w:val="24"/>
      <w:shd w:val="clear" w:color="auto" w:fill="000080"/>
    </w:rPr>
  </w:style>
  <w:style w:type="character" w:customStyle="1" w:styleId="af">
    <w:name w:val="纯文本 字符"/>
    <w:basedOn w:val="a0"/>
    <w:link w:val="ae"/>
    <w:autoRedefine/>
    <w:uiPriority w:val="99"/>
    <w:qFormat/>
    <w:rPr>
      <w:rFonts w:ascii="宋体" w:hAnsi="Courier New"/>
      <w:kern w:val="2"/>
      <w:sz w:val="21"/>
    </w:rPr>
  </w:style>
  <w:style w:type="character" w:customStyle="1" w:styleId="ad">
    <w:name w:val="正文文本缩进 字符"/>
    <w:basedOn w:val="a0"/>
    <w:link w:val="ac"/>
    <w:autoRedefine/>
    <w:uiPriority w:val="99"/>
    <w:qFormat/>
    <w:rPr>
      <w:kern w:val="2"/>
      <w:sz w:val="21"/>
    </w:rPr>
  </w:style>
  <w:style w:type="paragraph" w:customStyle="1" w:styleId="Web">
    <w:name w:val="普通 (Web)"/>
    <w:basedOn w:val="a"/>
    <w:autoRedefine/>
    <w:uiPriority w:val="99"/>
    <w:qFormat/>
    <w:pPr>
      <w:widowControl/>
      <w:spacing w:before="100" w:beforeAutospacing="1" w:after="100" w:afterAutospacing="1"/>
      <w:jc w:val="left"/>
    </w:pPr>
    <w:rPr>
      <w:rFonts w:ascii="Arial Unicode MS" w:eastAsia="Arial Unicode MS" w:hAnsi="Arial Unicode MS"/>
      <w:color w:val="000000"/>
      <w:kern w:val="0"/>
      <w:sz w:val="24"/>
    </w:rPr>
  </w:style>
  <w:style w:type="character" w:customStyle="1" w:styleId="32">
    <w:name w:val="正文文本缩进 3 字符"/>
    <w:basedOn w:val="a0"/>
    <w:link w:val="31"/>
    <w:autoRedefine/>
    <w:uiPriority w:val="99"/>
    <w:qFormat/>
    <w:rPr>
      <w:rFonts w:ascii="宋体" w:hAnsi="宋体"/>
      <w:kern w:val="2"/>
      <w:sz w:val="21"/>
    </w:rPr>
  </w:style>
  <w:style w:type="character" w:customStyle="1" w:styleId="ab">
    <w:name w:val="正文文本 字符"/>
    <w:basedOn w:val="a0"/>
    <w:link w:val="aa"/>
    <w:autoRedefine/>
    <w:uiPriority w:val="99"/>
    <w:qFormat/>
    <w:rPr>
      <w:b/>
      <w:caps/>
      <w:kern w:val="2"/>
      <w:sz w:val="21"/>
    </w:rPr>
  </w:style>
  <w:style w:type="character" w:customStyle="1" w:styleId="a9">
    <w:name w:val="批注文字 字符"/>
    <w:basedOn w:val="a0"/>
    <w:link w:val="a8"/>
    <w:autoRedefine/>
    <w:uiPriority w:val="99"/>
    <w:qFormat/>
    <w:rPr>
      <w:kern w:val="2"/>
      <w:sz w:val="21"/>
      <w:szCs w:val="24"/>
    </w:rPr>
  </w:style>
  <w:style w:type="character" w:customStyle="1" w:styleId="aff3">
    <w:name w:val="批注主题 字符"/>
    <w:basedOn w:val="a9"/>
    <w:link w:val="aff2"/>
    <w:autoRedefine/>
    <w:uiPriority w:val="99"/>
    <w:qFormat/>
    <w:rPr>
      <w:b/>
      <w:bCs/>
      <w:kern w:val="2"/>
      <w:sz w:val="21"/>
      <w:szCs w:val="24"/>
    </w:rPr>
  </w:style>
  <w:style w:type="paragraph" w:customStyle="1" w:styleId="13">
    <w:name w:val="列出段落1"/>
    <w:basedOn w:val="a"/>
    <w:link w:val="Char"/>
    <w:autoRedefine/>
    <w:uiPriority w:val="99"/>
    <w:qFormat/>
    <w:pPr>
      <w:ind w:firstLine="420"/>
    </w:pPr>
  </w:style>
  <w:style w:type="paragraph" w:customStyle="1" w:styleId="z-1">
    <w:name w:val="z-窗体顶端1"/>
    <w:basedOn w:val="a"/>
    <w:next w:val="a"/>
    <w:link w:val="z-"/>
    <w:autoRedefine/>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basedOn w:val="a0"/>
    <w:link w:val="z-1"/>
    <w:autoRedefine/>
    <w:qFormat/>
    <w:rPr>
      <w:rFonts w:ascii="Arial" w:hAnsi="Arial" w:cs="Arial"/>
      <w:vanish/>
      <w:sz w:val="16"/>
      <w:szCs w:val="16"/>
    </w:rPr>
  </w:style>
  <w:style w:type="character" w:customStyle="1" w:styleId="CharChar14">
    <w:name w:val="Char Char14"/>
    <w:basedOn w:val="a0"/>
    <w:semiHidden/>
    <w:qFormat/>
    <w:rPr>
      <w:rFonts w:ascii="Cambria" w:eastAsia="宋体" w:hAnsi="Cambria" w:cs="Times New Roman"/>
      <w:b/>
      <w:bCs/>
      <w:i/>
      <w:iCs/>
      <w:kern w:val="2"/>
      <w:sz w:val="28"/>
      <w:szCs w:val="28"/>
    </w:rPr>
  </w:style>
  <w:style w:type="paragraph" w:customStyle="1" w:styleId="14">
    <w:name w:val="批注框文本1"/>
    <w:basedOn w:val="a"/>
    <w:autoRedefine/>
    <w:uiPriority w:val="99"/>
    <w:semiHidden/>
    <w:qFormat/>
    <w:rPr>
      <w:rFonts w:eastAsia="PMingLiU"/>
      <w:sz w:val="18"/>
      <w:szCs w:val="18"/>
    </w:rPr>
  </w:style>
  <w:style w:type="character" w:customStyle="1" w:styleId="af3">
    <w:name w:val="尾注文本 字符"/>
    <w:basedOn w:val="a0"/>
    <w:link w:val="af2"/>
    <w:autoRedefine/>
    <w:qFormat/>
    <w:rPr>
      <w:rFonts w:eastAsia="PMingLiU"/>
      <w:kern w:val="2"/>
    </w:rPr>
  </w:style>
  <w:style w:type="table" w:customStyle="1" w:styleId="210">
    <w:name w:val="中等深浅列表 21"/>
    <w:autoRedefine/>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23">
    <w:name w:val="列出段落2"/>
    <w:basedOn w:val="a"/>
    <w:autoRedefine/>
    <w:uiPriority w:val="99"/>
    <w:qFormat/>
    <w:pPr>
      <w:ind w:firstLine="420"/>
    </w:pPr>
  </w:style>
  <w:style w:type="paragraph" w:customStyle="1" w:styleId="211">
    <w:name w:val="列出段落21"/>
    <w:basedOn w:val="a"/>
    <w:autoRedefine/>
    <w:uiPriority w:val="99"/>
    <w:qFormat/>
    <w:pPr>
      <w:ind w:firstLine="420"/>
    </w:pPr>
  </w:style>
  <w:style w:type="paragraph" w:customStyle="1" w:styleId="34">
    <w:name w:val="列出段落3"/>
    <w:basedOn w:val="a"/>
    <w:uiPriority w:val="99"/>
    <w:qFormat/>
    <w:pPr>
      <w:ind w:firstLine="420"/>
    </w:pPr>
  </w:style>
  <w:style w:type="table" w:customStyle="1" w:styleId="1-51">
    <w:name w:val="中等深浅底纹 1 - 强调文字颜色 51"/>
    <w:autoRedefine/>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0">
    <w:name w:val="浅色底纹 - 强调文字颜色 51"/>
    <w:autoRedefine/>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
    <w:name w:val="浅色列表 - 强调文字颜色 51"/>
    <w:autoRedefine/>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
    <w:name w:val="中等深浅列表 2 - 强调文字颜色 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
    <w:name w:val="中等深浅网格 3 - 强调文字颜色 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
    <w:name w:val="彩色网格 - 强调文字颜色 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0">
    <w:name w:val="中等深浅网格 2 - 强调文字颜色 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
    <w:name w:val="中等深浅底纹 2 - 强调文字颜色 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paragraph" w:customStyle="1" w:styleId="15">
    <w:name w:val="註解方塊文字1"/>
    <w:basedOn w:val="a"/>
    <w:uiPriority w:val="99"/>
    <w:semiHidden/>
    <w:qFormat/>
    <w:rPr>
      <w:rFonts w:ascii="Tahoma" w:hAnsi="Tahoma" w:cs="Arial Unicode MS"/>
      <w:sz w:val="16"/>
      <w:szCs w:val="16"/>
    </w:rPr>
  </w:style>
  <w:style w:type="paragraph" w:customStyle="1" w:styleId="16">
    <w:name w:val="修订1"/>
    <w:hidden/>
    <w:uiPriority w:val="99"/>
    <w:semiHidden/>
    <w:qFormat/>
    <w:rPr>
      <w:kern w:val="2"/>
      <w:sz w:val="21"/>
    </w:rPr>
  </w:style>
  <w:style w:type="paragraph" w:styleId="afff0">
    <w:name w:val="List Paragraph"/>
    <w:basedOn w:val="a"/>
    <w:link w:val="afff1"/>
    <w:uiPriority w:val="34"/>
    <w:qFormat/>
    <w:pPr>
      <w:ind w:firstLine="420"/>
    </w:pPr>
  </w:style>
  <w:style w:type="paragraph" w:customStyle="1" w:styleId="24">
    <w:name w:val="修订2"/>
    <w:hidden/>
    <w:uiPriority w:val="99"/>
    <w:semiHidden/>
    <w:qFormat/>
    <w:rPr>
      <w:kern w:val="2"/>
      <w:sz w:val="21"/>
      <w:szCs w:val="24"/>
    </w:rPr>
  </w:style>
  <w:style w:type="paragraph" w:customStyle="1" w:styleId="41">
    <w:name w:val="列出段落4"/>
    <w:basedOn w:val="a"/>
    <w:uiPriority w:val="99"/>
    <w:qFormat/>
    <w:pPr>
      <w:ind w:firstLine="420"/>
    </w:pPr>
  </w:style>
  <w:style w:type="table" w:customStyle="1" w:styleId="1-52">
    <w:name w:val="中等深浅底纹 1 - 强调文字颜色 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
    <w:name w:val="浅色底纹 - 强调文字颜色 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0">
    <w:name w:val="浅色列表 - 强调文字颜色 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
    <w:name w:val="中等深浅列表 2 - 强调文字颜色 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
    <w:name w:val="中等深浅网格 3 - 强调文字颜色 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
    <w:name w:val="彩色网格 - 强调文字颜色 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0">
    <w:name w:val="中等深浅网格 2 - 强调文字颜色 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
    <w:name w:val="中等深浅底纹 2 - 强调文字颜色 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paragraph" w:customStyle="1" w:styleId="212">
    <w:name w:val="修订21"/>
    <w:hidden/>
    <w:uiPriority w:val="99"/>
    <w:semiHidden/>
    <w:qFormat/>
    <w:rPr>
      <w:kern w:val="2"/>
      <w:sz w:val="21"/>
    </w:rPr>
  </w:style>
  <w:style w:type="table" w:customStyle="1" w:styleId="-11">
    <w:name w:val="浅色底纹 - 强调文字颜色 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列表 - 强调文字颜色 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table" w:customStyle="1" w:styleId="17">
    <w:name w:val="浅色底纹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OC10">
    <w:name w:val="TOC 标题1"/>
    <w:basedOn w:val="1"/>
    <w:next w:val="a"/>
    <w:autoRedefine/>
    <w:uiPriority w:val="39"/>
    <w:unhideWhenUsed/>
    <w:qFormat/>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paragraph" w:customStyle="1" w:styleId="afff2">
    <w:name w:val="规划正文"/>
    <w:basedOn w:val="a"/>
    <w:autoRedefine/>
    <w:uiPriority w:val="99"/>
    <w:qFormat/>
    <w:pPr>
      <w:ind w:firstLine="416"/>
    </w:pPr>
    <w:rPr>
      <w:rFonts w:ascii="仿宋_GB2312" w:eastAsia="仿宋_GB2312" w:hAnsi="仿宋_GB2312"/>
      <w:sz w:val="32"/>
      <w:szCs w:val="20"/>
    </w:rPr>
  </w:style>
  <w:style w:type="character" w:customStyle="1" w:styleId="aff1">
    <w:name w:val="标题 字符"/>
    <w:basedOn w:val="a0"/>
    <w:link w:val="aff0"/>
    <w:autoRedefine/>
    <w:uiPriority w:val="99"/>
    <w:qFormat/>
    <w:rPr>
      <w:rFonts w:ascii="隶书" w:eastAsia="隶书"/>
      <w:color w:val="000000"/>
      <w:sz w:val="36"/>
    </w:rPr>
  </w:style>
  <w:style w:type="character" w:customStyle="1" w:styleId="Char1">
    <w:name w:val="标题 Char1"/>
    <w:basedOn w:val="a0"/>
    <w:uiPriority w:val="10"/>
    <w:qFormat/>
    <w:rPr>
      <w:rFonts w:asciiTheme="majorHAnsi" w:hAnsiTheme="majorHAnsi" w:cstheme="majorBidi"/>
      <w:b/>
      <w:bCs/>
      <w:kern w:val="2"/>
      <w:sz w:val="32"/>
      <w:szCs w:val="32"/>
    </w:rPr>
  </w:style>
  <w:style w:type="character" w:customStyle="1" w:styleId="HTML0">
    <w:name w:val="HTML 预设格式 字符"/>
    <w:basedOn w:val="a0"/>
    <w:link w:val="HTML"/>
    <w:uiPriority w:val="99"/>
    <w:semiHidden/>
    <w:qFormat/>
    <w:rPr>
      <w:rFonts w:ascii="宋体" w:hAnsi="宋体" w:cs="宋体"/>
      <w:sz w:val="24"/>
      <w:szCs w:val="24"/>
    </w:rPr>
  </w:style>
  <w:style w:type="character" w:customStyle="1" w:styleId="afff1">
    <w:name w:val="列表段落 字符"/>
    <w:basedOn w:val="a0"/>
    <w:link w:val="afff0"/>
    <w:autoRedefine/>
    <w:uiPriority w:val="34"/>
    <w:qFormat/>
    <w:rPr>
      <w:kern w:val="2"/>
      <w:sz w:val="21"/>
      <w:szCs w:val="24"/>
    </w:rPr>
  </w:style>
  <w:style w:type="character" w:customStyle="1" w:styleId="18">
    <w:name w:val="不明显强调1"/>
    <w:basedOn w:val="a0"/>
    <w:uiPriority w:val="19"/>
    <w:qFormat/>
    <w:rPr>
      <w:i/>
      <w:iCs/>
      <w:color w:val="7F7F7F" w:themeColor="text1" w:themeTint="80"/>
    </w:rPr>
  </w:style>
  <w:style w:type="table" w:customStyle="1" w:styleId="19">
    <w:name w:val="网格型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laceholder Text"/>
    <w:basedOn w:val="a0"/>
    <w:autoRedefine/>
    <w:uiPriority w:val="99"/>
    <w:semiHidden/>
    <w:qFormat/>
    <w:rPr>
      <w:color w:val="808080"/>
    </w:rPr>
  </w:style>
  <w:style w:type="table" w:customStyle="1" w:styleId="110">
    <w:name w:val="浅色底纹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4">
    <w:name w:val="图"/>
    <w:next w:val="a"/>
    <w:qFormat/>
    <w:pPr>
      <w:keepNext/>
      <w:spacing w:beforeLines="50"/>
      <w:jc w:val="center"/>
    </w:pPr>
    <w:rPr>
      <w:rFonts w:ascii="仿宋_GB2312" w:eastAsia="仿宋" w:hAnsi="宋体"/>
      <w:kern w:val="2"/>
      <w:sz w:val="24"/>
    </w:rPr>
  </w:style>
  <w:style w:type="table" w:customStyle="1" w:styleId="4-11">
    <w:name w:val="网格表 4 - 着色 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
    <w:name w:val="网格表 5 深色 - 着色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网格表 5 深色 - 着色 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
    <w:name w:val="网格表 4 - 着色 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
    <w:name w:val="网格表 5 深色 - 着色 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
    <w:name w:val="网格表 5 深色 - 着色 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5">
    <w:name w:val="题注 字符"/>
    <w:link w:val="a4"/>
    <w:uiPriority w:val="35"/>
    <w:qFormat/>
    <w:locked/>
    <w:rsid w:val="002B0D05"/>
    <w:rPr>
      <w:rFonts w:eastAsiaTheme="minorEastAsia"/>
      <w:color w:val="000000" w:themeColor="text1"/>
      <w:kern w:val="2"/>
      <w:sz w:val="21"/>
      <w:szCs w:val="21"/>
    </w:rPr>
  </w:style>
  <w:style w:type="table" w:customStyle="1" w:styleId="25">
    <w:name w:val="网格型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中等深浅列表 2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
    <w:name w:val="中等深浅底纹 1 - 强调文字颜色 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
    <w:name w:val="浅色底纹 - 强调文字颜色 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
    <w:name w:val="浅色列表 - 强调文字颜色 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
    <w:name w:val="中等深浅列表 2 - 强调文字颜色 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
    <w:name w:val="中等深浅网格 3 - 强调文字颜色 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
    <w:name w:val="彩色网格 - 强调文字颜色 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
    <w:name w:val="中等深浅网格 2 - 强调文字颜色 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
    <w:name w:val="中等深浅底纹 2 - 强调文字颜色 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中等深浅底纹 1 - 强调文字颜色 5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
    <w:name w:val="浅色底纹 - 强调文字颜色 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
    <w:name w:val="浅色列表 - 强调文字颜色 5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
    <w:name w:val="中等深浅列表 2 - 强调文字颜色 5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
    <w:name w:val="中等深浅网格 3 - 强调文字颜色 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
    <w:name w:val="彩色网格 - 强调文字颜色 5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
    <w:name w:val="中等深浅网格 2 - 强调文字颜色 5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
    <w:name w:val="中等深浅底纹 2 - 强调文字颜色 5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简明型 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
    <w:name w:val="浅色底纹 - 着色 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
    <w:name w:val="网格型 8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
    <w:name w:val="浅色底纹 - 强调文字颜色 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
    <w:name w:val="浅色列表 - 强调文字颜色 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
    <w:name w:val="中等深浅网格 3 - 着色 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
    <w:name w:val="中等深浅网格 3 - 着色 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
    <w:name w:val="浅色网格 - 着色 5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4">
    <w:name w:val="彩色底纹 - 着色 5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
    <w:name w:val="浅色底纹1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列表型 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a">
    <w:name w:val="表格主题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古典型 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
    <w:name w:val="网格型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浅色底纹 - 着色 4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
    <w:name w:val="浅色底纹 - 着色 5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
    <w:name w:val="浅色底纹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
    <w:name w:val="中等深浅底纹 1 - 着色 6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
    <w:name w:val="浅色列表 - 着色 6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
    <w:name w:val="网格表 4 - 着色 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
    <w:name w:val="网格表 5 深色 - 着色 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
    <w:name w:val="网格表 5 深色 - 着色 5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
    <w:name w:val="网格表 4 - 着色 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
    <w:name w:val="网格表 5 深色 - 着色 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
    <w:name w:val="网格表 5 深色 - 着色 5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
    <w:name w:val="网格型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中等深浅列表 2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
    <w:name w:val="中等深浅底纹 1 - 强调文字颜色 5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0">
    <w:name w:val="浅色底纹 - 强调文字颜色 5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
    <w:name w:val="浅色列表 - 强调文字颜色 5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
    <w:name w:val="中等深浅列表 2 - 强调文字颜色 5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
    <w:name w:val="中等深浅网格 3 - 强调文字颜色 5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
    <w:name w:val="彩色网格 - 强调文字颜色 5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0">
    <w:name w:val="中等深浅网格 2 - 强调文字颜色 5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
    <w:name w:val="中等深浅底纹 2 - 强调文字颜色 5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
    <w:name w:val="中等深浅底纹 1 - 强调文字颜色 5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
    <w:name w:val="浅色底纹 - 强调文字颜色 5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0">
    <w:name w:val="浅色列表 - 强调文字颜色 5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
    <w:name w:val="中等深浅列表 2 - 强调文字颜色 5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
    <w:name w:val="中等深浅网格 3 - 强调文字颜色 5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
    <w:name w:val="彩色网格 - 强调文字颜色 5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0">
    <w:name w:val="中等深浅网格 2 - 强调文字颜色 5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
    <w:name w:val="中等深浅底纹 2 - 强调文字颜色 5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
    <w:name w:val="简明型 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
    <w:name w:val="浅色底纹 - 着色 3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
    <w:name w:val="网格型 8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
    <w:name w:val="浅色底纹 - 强调文字颜色 11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浅色列表 - 强调文字颜色 11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0">
    <w:name w:val="中等深浅网格 3 - 着色 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
    <w:name w:val="中等深浅网格 3 - 着色 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
    <w:name w:val="浅色网格 - 着色 5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4">
    <w:name w:val="彩色底纹 - 着色 5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0">
    <w:name w:val="浅色底纹1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0">
    <w:name w:val="列表型 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6">
    <w:name w:val="表格主题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古典型 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
    <w:name w:val="网格型1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浅色底纹 - 着色 4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
    <w:name w:val="浅色底纹 - 着色 5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0">
    <w:name w:val="浅色底纹11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
    <w:name w:val="中等深浅底纹 1 - 着色 6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
    <w:name w:val="浅色列表 - 着色 6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
    <w:name w:val="网格表 4 - 着色 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
    <w:name w:val="网格表 5 深色 - 着色 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
    <w:name w:val="网格表 5 深色 - 着色 5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
    <w:name w:val="网格表 4 - 着色 1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
    <w:name w:val="网格表 5 深色 - 着色 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
    <w:name w:val="网格表 5 深色 - 着色 5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
    <w:name w:val="网格型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列表 21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
    <w:name w:val="中等深浅底纹 1 - 强调文字颜色 5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0">
    <w:name w:val="浅色底纹 - 强调文字颜色 5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
    <w:name w:val="浅色列表 - 强调文字颜色 5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
    <w:name w:val="中等深浅列表 2 - 强调文字颜色 5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
    <w:name w:val="中等深浅网格 3 - 强调文字颜色 5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
    <w:name w:val="彩色网格 - 强调文字颜色 5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0">
    <w:name w:val="中等深浅网格 2 - 强调文字颜色 5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
    <w:name w:val="中等深浅底纹 2 - 强调文字颜色 5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
    <w:name w:val="中等深浅底纹 1 - 强调文字颜色 5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0">
    <w:name w:val="浅色底纹 - 强调文字颜色 5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
    <w:name w:val="浅色列表 - 强调文字颜色 5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
    <w:name w:val="中等深浅列表 2 - 强调文字颜色 5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
    <w:name w:val="中等深浅网格 3 - 强调文字颜色 5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
    <w:name w:val="彩色网格 - 强调文字颜色 5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0">
    <w:name w:val="中等深浅网格 2 - 强调文字颜色 5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
    <w:name w:val="中等深浅底纹 2 - 强调文字颜色 5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
    <w:name w:val="简明型 1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
    <w:name w:val="浅色底纹 - 着色 3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
    <w:name w:val="网格型 8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
    <w:name w:val="浅色底纹 - 强调文字颜色 11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0">
    <w:name w:val="浅色列表 - 强调文字颜色 11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
    <w:name w:val="中等深浅网格 3 - 着色 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
    <w:name w:val="中等深浅网格 3 - 着色 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
    <w:name w:val="浅色网格 - 着色 5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0">
    <w:name w:val="彩色底纹 - 着色 5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0">
    <w:name w:val="浅色底纹1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列表型 3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6">
    <w:name w:val="表格主题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古典型 1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
    <w:name w:val="网格型1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浅色底纹 - 着色 4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
    <w:name w:val="浅色底纹 - 着色 5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0">
    <w:name w:val="浅色底纹11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
    <w:name w:val="中等深浅底纹 1 - 着色 6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
    <w:name w:val="浅色列表 - 着色 6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
    <w:name w:val="网格表 4 - 着色 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
    <w:name w:val="网格表 5 深色 - 着色 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
    <w:name w:val="网格表 5 深色 - 着色 5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
    <w:name w:val="网格表 4 - 着色 1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
    <w:name w:val="网格表 5 深色 - 着色 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
    <w:name w:val="网格表 5 深色 - 着色 5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
    <w:name w:val="网格型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中等深浅列表 21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
    <w:name w:val="中等深浅底纹 1 - 强调文字颜色 5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0">
    <w:name w:val="浅色底纹 - 强调文字颜色 5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
    <w:name w:val="浅色列表 - 强调文字颜色 5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
    <w:name w:val="中等深浅列表 2 - 强调文字颜色 5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
    <w:name w:val="中等深浅网格 3 - 强调文字颜色 5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
    <w:name w:val="彩色网格 - 强调文字颜色 5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0">
    <w:name w:val="中等深浅网格 2 - 强调文字颜色 5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
    <w:name w:val="中等深浅底纹 2 - 强调文字颜色 5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
    <w:name w:val="中等深浅底纹 1 - 强调文字颜色 5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0">
    <w:name w:val="浅色底纹 - 强调文字颜色 5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
    <w:name w:val="浅色列表 - 强调文字颜色 5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
    <w:name w:val="中等深浅列表 2 - 强调文字颜色 5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
    <w:name w:val="中等深浅网格 3 - 强调文字颜色 5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
    <w:name w:val="彩色网格 - 强调文字颜色 5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0">
    <w:name w:val="中等深浅网格 2 - 强调文字颜色 5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
    <w:name w:val="中等深浅底纹 2 - 强调文字颜色 5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
    <w:name w:val="简明型 1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
    <w:name w:val="浅色底纹 - 着色 3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
    <w:name w:val="网格型 8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
    <w:name w:val="浅色底纹 - 强调文字颜色 11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0">
    <w:name w:val="浅色列表 - 强调文字颜色 11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
    <w:name w:val="中等深浅网格 3 - 着色 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
    <w:name w:val="中等深浅网格 3 - 着色 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
    <w:name w:val="浅色网格 - 着色 5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0">
    <w:name w:val="彩色底纹 - 着色 5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0">
    <w:name w:val="浅色底纹1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列表型 3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
    <w:name w:val="表格主题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古典型 1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
    <w:name w:val="网格型1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浅色底纹 - 着色 4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
    <w:name w:val="浅色底纹 - 着色 5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
    <w:name w:val="浅色底纹11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
    <w:name w:val="中等深浅底纹 1 - 着色 6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
    <w:name w:val="浅色列表 - 着色 6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
    <w:name w:val="网格表 4 - 着色 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
    <w:name w:val="网格表 5 深色 - 着色 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
    <w:name w:val="网格表 5 深色 - 着色 5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
    <w:name w:val="网格表 4 - 着色 1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
    <w:name w:val="网格表 5 深色 - 着色 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
    <w:name w:val="网格表 5 深色 - 着色 5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
    <w:name w:val="网格型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中等深浅列表 21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
    <w:name w:val="中等深浅底纹 1 - 强调文字颜色 5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0">
    <w:name w:val="浅色底纹 - 强调文字颜色 5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
    <w:name w:val="浅色列表 - 强调文字颜色 5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
    <w:name w:val="中等深浅列表 2 - 强调文字颜色 5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
    <w:name w:val="中等深浅网格 3 - 强调文字颜色 5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
    <w:name w:val="彩色网格 - 强调文字颜色 5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0">
    <w:name w:val="中等深浅网格 2 - 强调文字颜色 5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
    <w:name w:val="中等深浅底纹 2 - 强调文字颜色 5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
    <w:name w:val="中等深浅底纹 1 - 强调文字颜色 5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0">
    <w:name w:val="浅色底纹 - 强调文字颜色 5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
    <w:name w:val="浅色列表 - 强调文字颜色 5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
    <w:name w:val="中等深浅列表 2 - 强调文字颜色 5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
    <w:name w:val="中等深浅网格 3 - 强调文字颜色 5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
    <w:name w:val="彩色网格 - 强调文字颜色 5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0">
    <w:name w:val="中等深浅网格 2 - 强调文字颜色 5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
    <w:name w:val="中等深浅底纹 2 - 强调文字颜色 5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
    <w:name w:val="简明型 1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
    <w:name w:val="浅色底纹 - 着色 3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
    <w:name w:val="网格型 8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
    <w:name w:val="浅色底纹 - 强调文字颜色 11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0">
    <w:name w:val="浅色列表 - 强调文字颜色 11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
    <w:name w:val="中等深浅网格 3 - 着色 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
    <w:name w:val="中等深浅网格 3 - 着色 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
    <w:name w:val="浅色网格 - 着色 5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0">
    <w:name w:val="彩色底纹 - 着色 5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0">
    <w:name w:val="浅色底纹16"/>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列表型 3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
    <w:name w:val="表格主题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古典型 1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
    <w:name w:val="网格型1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浅色底纹 - 着色 4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
    <w:name w:val="浅色底纹 - 着色 5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
    <w:name w:val="浅色底纹11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
    <w:name w:val="中等深浅底纹 1 - 着色 6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
    <w:name w:val="浅色列表 - 着色 6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
    <w:name w:val="网格表 4 - 着色 116"/>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
    <w:name w:val="网格表 5 深色 - 着色 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
    <w:name w:val="网格表 5 深色 - 着色 5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
    <w:name w:val="网格表 4 - 着色 1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
    <w:name w:val="网格表 5 深色 - 着色 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
    <w:name w:val="网格表 5 深色 - 着色 5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pple-converted-space">
    <w:name w:val="apple-converted-space"/>
    <w:basedOn w:val="a0"/>
    <w:qFormat/>
  </w:style>
  <w:style w:type="table" w:customStyle="1" w:styleId="7">
    <w:name w:val="网格型7"/>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中等深浅列表 21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
    <w:name w:val="中等深浅底纹 1 - 强调文字颜色 51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
    <w:name w:val="浅色底纹 - 强调文字颜色 51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0">
    <w:name w:val="浅色列表 - 强调文字颜色 51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
    <w:name w:val="中等深浅列表 2 - 强调文字颜色 51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
    <w:name w:val="中等深浅网格 3 - 强调文字颜色 51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
    <w:name w:val="彩色网格 - 强调文字颜色 51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0">
    <w:name w:val="中等深浅网格 2 - 强调文字颜色 5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
    <w:name w:val="中等深浅底纹 2 - 强调文字颜色 51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
    <w:name w:val="中等深浅底纹 1 - 强调文字颜色 52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
    <w:name w:val="浅色底纹 - 强调文字颜色 52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0">
    <w:name w:val="浅色列表 - 强调文字颜色 52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
    <w:name w:val="中等深浅列表 2 - 强调文字颜色 52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
    <w:name w:val="中等深浅网格 3 - 强调文字颜色 52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
    <w:name w:val="彩色网格 - 强调文字颜色 52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0">
    <w:name w:val="中等深浅网格 2 - 强调文字颜色 52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
    <w:name w:val="中等深浅底纹 2 - 强调文字颜色 52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1">
    <w:name w:val="简明型 1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
    <w:name w:val="浅色底纹 - 着色 36"/>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
    <w:name w:val="网格型 8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
    <w:name w:val="浅色底纹 - 强调文字颜色 116"/>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0">
    <w:name w:val="浅色列表 - 强调文字颜色 116"/>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
    <w:name w:val="中等深浅网格 3 - 着色 56"/>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6">
    <w:name w:val="中等深浅网格 3 - 着色 16"/>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6">
    <w:name w:val="浅色网格 - 着色 56"/>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60">
    <w:name w:val="彩色底纹 - 着色 56"/>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0">
    <w:name w:val="浅色底纹17"/>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0">
    <w:name w:val="列表型 3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0">
    <w:name w:val="表格主题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古典型 1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3">
    <w:name w:val="网格型16"/>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浅色底纹 - 着色 46"/>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
    <w:name w:val="浅色底纹 - 着色 56"/>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
    <w:name w:val="浅色底纹116"/>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
    <w:name w:val="中等深浅底纹 1 - 着色 66"/>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
    <w:name w:val="浅色列表 - 着色 66"/>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
    <w:name w:val="网格表 4 - 着色 117"/>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
    <w:name w:val="网格表 5 深色 - 着色 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
    <w:name w:val="网格表 5 深色 - 着色 5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
    <w:name w:val="网格表 4 - 着色 1116"/>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
    <w:name w:val="网格表 5 深色 - 着色 1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
    <w:name w:val="网格表 5 深色 - 着色 5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7">
    <w:name w:val="网格型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列表 21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中等深浅底纹 1 - 强调文字颜色 5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0">
    <w:name w:val="浅色底纹 - 强调文字颜色 5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1">
    <w:name w:val="浅色列表 - 强调文字颜色 5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0">
    <w:name w:val="中等深浅列表 2 - 强调文字颜色 5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
    <w:name w:val="中等深浅网格 3 - 强调文字颜色 5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
    <w:name w:val="彩色网格 - 强调文字颜色 5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
    <w:name w:val="中等深浅网格 2 - 强调文字颜色 5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
    <w:name w:val="中等深浅底纹 2 - 强调文字颜色 5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中等深浅底纹 1 - 强调文字颜色 5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0">
    <w:name w:val="浅色底纹 - 强调文字颜色 5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1">
    <w:name w:val="浅色列表 - 强调文字颜色 5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0">
    <w:name w:val="中等深浅列表 2 - 强调文字颜色 5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
    <w:name w:val="中等深浅网格 3 - 强调文字颜色 5211"/>
    <w:autoRedefine/>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
    <w:name w:val="彩色网格 - 强调文字颜色 5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
    <w:name w:val="中等深浅网格 2 - 强调文字颜色 5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
    <w:name w:val="中等深浅底纹 2 - 强调文字颜色 5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1">
    <w:name w:val="简明型 1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
    <w:name w:val="浅色底纹 - 着色 3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
    <w:name w:val="网格型 8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
    <w:name w:val="浅色底纹 - 强调文字颜色 1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0">
    <w:name w:val="浅色列表 - 强调文字颜色 1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0">
    <w:name w:val="中等深浅网格 3 - 着色 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1">
    <w:name w:val="中等深浅网格 3 - 着色 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13">
    <w:name w:val="浅色网格 - 着色 5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14">
    <w:name w:val="彩色底纹 - 着色 5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0">
    <w:name w:val="浅色底纹1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列表型 3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7">
    <w:name w:val="表格主题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古典型 1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3">
    <w:name w:val="网格型1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浅色底纹 - 着色 4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5">
    <w:name w:val="浅色底纹 - 着色 5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0">
    <w:name w:val="浅色底纹1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
    <w:name w:val="中等深浅底纹 1 - 着色 6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
    <w:name w:val="浅色列表 - 着色 6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
    <w:name w:val="网格表 4 - 着色 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
    <w:name w:val="网格表 5 深色 - 着色 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
    <w:name w:val="网格表 5 深色 - 着色 5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
    <w:name w:val="网格表 4 - 着色 1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
    <w:name w:val="网格表 5 深色 - 着色 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
    <w:name w:val="网格表 5 深色 - 着色 5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2">
    <w:name w:val="网格型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列表 21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
    <w:name w:val="中等深浅底纹 1 - 强调文字颜色 5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0">
    <w:name w:val="浅色底纹 - 强调文字颜色 51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1">
    <w:name w:val="浅色列表 - 强调文字颜色 51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0">
    <w:name w:val="中等深浅列表 2 - 强调文字颜色 51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
    <w:name w:val="中等深浅网格 3 - 强调文字颜色 51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
    <w:name w:val="彩色网格 - 强调文字颜色 5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
    <w:name w:val="中等深浅网格 2 - 强调文字颜色 51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
    <w:name w:val="中等深浅底纹 2 - 强调文字颜色 5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中等深浅底纹 1 - 强调文字颜色 52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0">
    <w:name w:val="浅色底纹 - 强调文字颜色 52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1">
    <w:name w:val="浅色列表 - 强调文字颜色 52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0">
    <w:name w:val="中等深浅列表 2 - 强调文字颜色 52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
    <w:name w:val="中等深浅网格 3 - 强调文字颜色 5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
    <w:name w:val="彩色网格 - 强调文字颜色 52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
    <w:name w:val="中等深浅网格 2 - 强调文字颜色 52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
    <w:name w:val="中等深浅底纹 2 - 强调文字颜色 52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1">
    <w:name w:val="简明型 1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
    <w:name w:val="浅色底纹 - 着色 3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
    <w:name w:val="网格型 8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
    <w:name w:val="浅色底纹 - 强调文字颜色 11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0">
    <w:name w:val="浅色列表 - 强调文字颜色 11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0">
    <w:name w:val="中等深浅网格 3 - 着色 5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1">
    <w:name w:val="中等深浅网格 3 - 着色 1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13">
    <w:name w:val="浅色网格 - 着色 5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14">
    <w:name w:val="彩色底纹 - 着色 5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0">
    <w:name w:val="浅色底纹1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列表型 3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8">
    <w:name w:val="表格主题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古典型 1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3">
    <w:name w:val="网格型1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浅色底纹 - 着色 4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5">
    <w:name w:val="浅色底纹 - 着色 5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
    <w:name w:val="浅色底纹11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
    <w:name w:val="中等深浅底纹 1 - 着色 6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
    <w:name w:val="浅色列表 - 着色 6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
    <w:name w:val="网格表 4 - 着色 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
    <w:name w:val="网格表 5 深色 - 着色 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
    <w:name w:val="网格表 5 深色 - 着色 5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
    <w:name w:val="网格表 4 - 着色 1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
    <w:name w:val="网格表 5 深色 - 着色 1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
    <w:name w:val="网格表 5 深色 - 着色 5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0">
    <w:name w:val="网格型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列表 21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
    <w:name w:val="中等深浅底纹 1 - 强调文字颜色 5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0">
    <w:name w:val="浅色底纹 - 强调文字颜色 51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1">
    <w:name w:val="浅色列表 - 强调文字颜色 5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0">
    <w:name w:val="中等深浅列表 2 - 强调文字颜色 5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
    <w:name w:val="中等深浅网格 3 - 强调文字颜色 5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
    <w:name w:val="彩色网格 - 强调文字颜色 5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
    <w:name w:val="中等深浅网格 2 - 强调文字颜色 5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
    <w:name w:val="中等深浅底纹 2 - 强调文字颜色 5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
    <w:name w:val="中等深浅底纹 1 - 强调文字颜色 5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0">
    <w:name w:val="浅色底纹 - 强调文字颜色 52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1">
    <w:name w:val="浅色列表 - 强调文字颜色 5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0">
    <w:name w:val="中等深浅列表 2 - 强调文字颜色 5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
    <w:name w:val="中等深浅网格 3 - 强调文字颜色 5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
    <w:name w:val="彩色网格 - 强调文字颜色 5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
    <w:name w:val="中等深浅网格 2 - 强调文字颜色 5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
    <w:name w:val="中等深浅底纹 2 - 强调文字颜色 52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1">
    <w:name w:val="简明型 1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
    <w:name w:val="浅色底纹 - 着色 3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
    <w:name w:val="网格型 8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
    <w:name w:val="浅色底纹 - 强调文字颜色 11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0">
    <w:name w:val="浅色列表 - 强调文字颜色 11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
    <w:name w:val="中等深浅网格 3 - 着色 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1">
    <w:name w:val="中等深浅网格 3 - 着色 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10">
    <w:name w:val="浅色网格 - 着色 5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11">
    <w:name w:val="彩色底纹 - 着色 5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0">
    <w:name w:val="浅色底纹14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列表型 3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3">
    <w:name w:val="表格主题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古典型 1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3">
    <w:name w:val="网格型1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浅色底纹 - 着色 4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2">
    <w:name w:val="浅色底纹 - 着色 5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
    <w:name w:val="浅色底纹11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
    <w:name w:val="中等深浅底纹 1 - 着色 6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
    <w:name w:val="浅色列表 - 着色 6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
    <w:name w:val="网格表 4 - 着色 114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
    <w:name w:val="网格表 5 深色 - 着色 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
    <w:name w:val="网格表 5 深色 - 着色 5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
    <w:name w:val="网格表 4 - 着色 1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
    <w:name w:val="网格表 5 深色 - 着色 1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
    <w:name w:val="网格表 5 深色 - 着色 5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0">
    <w:name w:val="网格型5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中等深浅列表 21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
    <w:name w:val="中等深浅底纹 1 - 强调文字颜色 51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0">
    <w:name w:val="浅色底纹 - 强调文字颜色 51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1">
    <w:name w:val="浅色列表 - 强调文字颜色 51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0">
    <w:name w:val="中等深浅列表 2 - 强调文字颜色 51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
    <w:name w:val="中等深浅网格 3 - 强调文字颜色 51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
    <w:name w:val="彩色网格 - 强调文字颜色 51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
    <w:name w:val="中等深浅网格 2 - 强调文字颜色 51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
    <w:name w:val="中等深浅底纹 2 - 强调文字颜色 51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
    <w:name w:val="中等深浅底纹 1 - 强调文字颜色 52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0">
    <w:name w:val="浅色底纹 - 强调文字颜色 52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1">
    <w:name w:val="浅色列表 - 强调文字颜色 5241"/>
    <w:autoRedefine/>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0">
    <w:name w:val="中等深浅列表 2 - 强调文字颜色 52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
    <w:name w:val="中等深浅网格 3 - 强调文字颜色 52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
    <w:name w:val="彩色网格 - 强调文字颜色 52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
    <w:name w:val="中等深浅网格 2 - 强调文字颜色 52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
    <w:name w:val="中等深浅底纹 2 - 强调文字颜色 52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1">
    <w:name w:val="简明型 1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
    <w:name w:val="浅色底纹 - 着色 34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
    <w:name w:val="网格型 8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
    <w:name w:val="浅色底纹 - 强调文字颜色 114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0">
    <w:name w:val="浅色列表 - 强调文字颜色 114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
    <w:name w:val="中等深浅网格 3 - 着色 54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1">
    <w:name w:val="中等深浅网格 3 - 着色 14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10">
    <w:name w:val="浅色网格 - 着色 54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11">
    <w:name w:val="彩色底纹 - 着色 54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0">
    <w:name w:val="浅色底纹15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
    <w:name w:val="列表型 3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
    <w:name w:val="表格主题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古典型 1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3">
    <w:name w:val="网格型14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浅色底纹 - 着色 44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2">
    <w:name w:val="浅色底纹 - 着色 54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
    <w:name w:val="浅色底纹114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
    <w:name w:val="中等深浅底纹 1 - 着色 64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
    <w:name w:val="浅色列表 - 着色 64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
    <w:name w:val="网格表 4 - 着色 115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
    <w:name w:val="网格表 5 深色 - 着色 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
    <w:name w:val="网格表 5 深色 - 着色 5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
    <w:name w:val="网格表 4 - 着色 1114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
    <w:name w:val="网格表 5 深色 - 着色 1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
    <w:name w:val="网格表 5 深色 - 着色 5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
    <w:name w:val="网格型6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中等深浅列表 215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
    <w:name w:val="中等深浅底纹 1 - 强调文字颜色 51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0">
    <w:name w:val="浅色底纹 - 强调文字颜色 51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1">
    <w:name w:val="浅色列表 - 强调文字颜色 51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0">
    <w:name w:val="中等深浅列表 2 - 强调文字颜色 51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
    <w:name w:val="中等深浅网格 3 - 强调文字颜色 51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
    <w:name w:val="彩色网格 - 强调文字颜色 51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
    <w:name w:val="中等深浅网格 2 - 强调文字颜色 51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
    <w:name w:val="中等深浅底纹 2 - 强调文字颜色 51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
    <w:name w:val="中等深浅底纹 1 - 强调文字颜色 52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0">
    <w:name w:val="浅色底纹 - 强调文字颜色 52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1">
    <w:name w:val="浅色列表 - 强调文字颜色 52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0">
    <w:name w:val="中等深浅列表 2 - 强调文字颜色 52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
    <w:name w:val="中等深浅网格 3 - 强调文字颜色 52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
    <w:name w:val="彩色网格 - 强调文字颜色 52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
    <w:name w:val="中等深浅网格 2 - 强调文字颜色 52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
    <w:name w:val="中等深浅底纹 2 - 强调文字颜色 52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1">
    <w:name w:val="简明型 15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
    <w:name w:val="浅色底纹 - 着色 35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
    <w:name w:val="网格型 85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
    <w:name w:val="浅色底纹 - 强调文字颜色 115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0">
    <w:name w:val="浅色列表 - 强调文字颜色 115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
    <w:name w:val="中等深浅网格 3 - 着色 5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1">
    <w:name w:val="中等深浅网格 3 - 着色 1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10">
    <w:name w:val="浅色网格 - 着色 55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11">
    <w:name w:val="彩色底纹 - 着色 55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0">
    <w:name w:val="浅色底纹16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
    <w:name w:val="列表型 35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
    <w:name w:val="表格主题5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古典型 15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3">
    <w:name w:val="网格型15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浅色底纹 - 着色 45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2">
    <w:name w:val="浅色底纹 - 着色 55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
    <w:name w:val="浅色底纹115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
    <w:name w:val="中等深浅底纹 1 - 着色 65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
    <w:name w:val="浅色列表 - 着色 65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
    <w:name w:val="网格表 4 - 着色 116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
    <w:name w:val="网格表 5 深色 - 着色 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
    <w:name w:val="网格表 5 深色 - 着色 5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
    <w:name w:val="网格表 4 - 着色 1115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
    <w:name w:val="网格表 5 深色 - 着色 1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
    <w:name w:val="网格表 5 深色 - 着色 5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0">
    <w:name w:val="网格型8"/>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中等深浅列表 217"/>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
    <w:name w:val="中等深浅底纹 1 - 强调文字颜色 51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
    <w:name w:val="浅色底纹 - 强调文字颜色 51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0">
    <w:name w:val="浅色列表 - 强调文字颜色 51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
    <w:name w:val="中等深浅列表 2 - 强调文字颜色 51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
    <w:name w:val="中等深浅网格 3 - 强调文字颜色 51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
    <w:name w:val="彩色网格 - 强调文字颜色 51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0">
    <w:name w:val="中等深浅网格 2 - 强调文字颜色 51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
    <w:name w:val="中等深浅底纹 2 - 强调文字颜色 51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
    <w:name w:val="中等深浅底纹 1 - 强调文字颜色 52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
    <w:name w:val="浅色底纹 - 强调文字颜色 52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0">
    <w:name w:val="浅色列表 - 强调文字颜色 52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
    <w:name w:val="中等深浅列表 2 - 强调文字颜色 52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
    <w:name w:val="中等深浅网格 3 - 强调文字颜色 52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
    <w:name w:val="彩色网格 - 强调文字颜色 52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0">
    <w:name w:val="中等深浅网格 2 - 强调文字颜色 52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
    <w:name w:val="中等深浅底纹 2 - 强调文字颜色 52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1">
    <w:name w:val="简明型 17"/>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
    <w:name w:val="浅色底纹 - 着色 37"/>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
    <w:name w:val="网格型 87"/>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
    <w:name w:val="浅色底纹 - 强调文字颜色 117"/>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0">
    <w:name w:val="浅色列表 - 强调文字颜色 117"/>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
    <w:name w:val="中等深浅网格 3 - 着色 57"/>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7">
    <w:name w:val="中等深浅网格 3 - 着色 17"/>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7">
    <w:name w:val="浅色网格 - 着色 57"/>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70">
    <w:name w:val="彩色底纹 - 着色 57"/>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0">
    <w:name w:val="浅色底纹18"/>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
    <w:name w:val="列表型 37"/>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0">
    <w:name w:val="表格主题7"/>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古典型 17"/>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3">
    <w:name w:val="网格型17"/>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浅色底纹 - 着色 47"/>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
    <w:name w:val="浅色底纹 - 着色 57"/>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0">
    <w:name w:val="浅色底纹117"/>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
    <w:name w:val="中等深浅底纹 1 - 着色 67"/>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
    <w:name w:val="浅色列表 - 着色 67"/>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
    <w:name w:val="网格表 4 - 着色 118"/>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
    <w:name w:val="网格表 5 深色 - 着色 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
    <w:name w:val="网格表 5 深色 - 着色 5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
    <w:name w:val="网格表 4 - 着色 1117"/>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
    <w:name w:val="网格表 5 深色 - 着色 1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
    <w:name w:val="网格表 5 深色 - 着色 5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0">
    <w:name w:val="网格型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中等深浅列表 21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
    <w:name w:val="中等深浅底纹 1 - 强调文字颜色 51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0">
    <w:name w:val="浅色底纹 - 强调文字颜色 51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1">
    <w:name w:val="浅色列表 - 强调文字颜色 51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0">
    <w:name w:val="中等深浅列表 2 - 强调文字颜色 51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
    <w:name w:val="中等深浅网格 3 - 强调文字颜色 51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
    <w:name w:val="彩色网格 - 强调文字颜色 51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
    <w:name w:val="中等深浅网格 2 - 强调文字颜色 51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
    <w:name w:val="中等深浅底纹 2 - 强调文字颜色 51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
    <w:name w:val="中等深浅底纹 1 - 强调文字颜色 5212"/>
    <w:autoRedefine/>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0">
    <w:name w:val="浅色底纹 - 强调文字颜色 52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1">
    <w:name w:val="浅色列表 - 强调文字颜色 52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0">
    <w:name w:val="中等深浅列表 2 - 强调文字颜色 52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
    <w:name w:val="中等深浅网格 3 - 强调文字颜色 52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
    <w:name w:val="彩色网格 - 强调文字颜色 52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
    <w:name w:val="中等深浅网格 2 - 强调文字颜色 52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
    <w:name w:val="中等深浅底纹 2 - 强调文字颜色 52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2">
    <w:name w:val="简明型 1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
    <w:name w:val="浅色底纹 - 着色 31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
    <w:name w:val="网格型 8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
    <w:name w:val="浅色底纹 - 强调文字颜色 111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0">
    <w:name w:val="浅色列表 - 强调文字颜色 111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0">
    <w:name w:val="中等深浅网格 3 - 着色 5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2">
    <w:name w:val="中等深浅网格 3 - 着色 1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23">
    <w:name w:val="浅色网格 - 着色 51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24">
    <w:name w:val="彩色底纹 - 着色 51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0">
    <w:name w:val="浅色底纹12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列表型 3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4">
    <w:name w:val="表格主题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古典型 1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4">
    <w:name w:val="网格型11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浅色底纹 - 着色 41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5">
    <w:name w:val="浅色底纹 - 着色 51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0">
    <w:name w:val="浅色底纹111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
    <w:name w:val="中等深浅底纹 1 - 着色 61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
    <w:name w:val="浅色列表 - 着色 61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
    <w:name w:val="网格表 4 - 着色 112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
    <w:name w:val="网格表 5 深色 - 着色 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
    <w:name w:val="网格表 5 深色 - 着色 5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
    <w:name w:val="网格表 4 - 着色 11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
    <w:name w:val="网格表 5 深色 - 着色 1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
    <w:name w:val="网格表 5 深色 - 着色 5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2">
    <w:name w:val="网格型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中等深浅列表 21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
    <w:name w:val="中等深浅底纹 1 - 强调文字颜色 51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0">
    <w:name w:val="浅色底纹 - 强调文字颜色 51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1">
    <w:name w:val="浅色列表 - 强调文字颜色 51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
    <w:name w:val="中等深浅列表 2 - 强调文字颜色 51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
    <w:name w:val="中等深浅网格 3 - 强调文字颜色 51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
    <w:name w:val="彩色网格 - 强调文字颜色 51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0">
    <w:name w:val="中等深浅网格 2 - 强调文字颜色 51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
    <w:name w:val="中等深浅底纹 2 - 强调文字颜色 51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
    <w:name w:val="中等深浅底纹 1 - 强调文字颜色 52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
    <w:name w:val="浅色底纹 - 强调文字颜色 52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0">
    <w:name w:val="浅色列表 - 强调文字颜色 52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
    <w:name w:val="中等深浅列表 2 - 强调文字颜色 52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
    <w:name w:val="中等深浅网格 3 - 强调文字颜色 52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
    <w:name w:val="彩色网格 - 强调文字颜色 52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0">
    <w:name w:val="中等深浅网格 2 - 强调文字颜色 52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
    <w:name w:val="中等深浅底纹 2 - 强调文字颜色 52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1">
    <w:name w:val="简明型 1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
    <w:name w:val="浅色底纹 - 着色 32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
    <w:name w:val="网格型 8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
    <w:name w:val="浅色底纹 - 强调文字颜色 112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0">
    <w:name w:val="浅色列表 - 强调文字颜色 112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0">
    <w:name w:val="中等深浅网格 3 - 着色 52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2">
    <w:name w:val="中等深浅网格 3 - 着色 12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23">
    <w:name w:val="浅色网格 - 着色 52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24">
    <w:name w:val="彩色底纹 - 着色 52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0">
    <w:name w:val="浅色底纹13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列表型 3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1">
    <w:name w:val="表格主题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古典型 1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3">
    <w:name w:val="网格型12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浅色底纹 - 着色 42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5">
    <w:name w:val="浅色底纹 - 着色 52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0">
    <w:name w:val="浅色底纹112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
    <w:name w:val="中等深浅底纹 1 - 着色 62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
    <w:name w:val="浅色列表 - 着色 62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
    <w:name w:val="网格表 4 - 着色 113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
    <w:name w:val="网格表 5 深色 - 着色 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
    <w:name w:val="网格表 5 深色 - 着色 5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
    <w:name w:val="网格表 4 - 着色 1112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
    <w:name w:val="网格表 5 深色 - 着色 1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
    <w:name w:val="网格表 5 深色 - 着色 5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0">
    <w:name w:val="网格型4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中等深浅列表 21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
    <w:name w:val="中等深浅底纹 1 - 强调文字颜色 51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0">
    <w:name w:val="浅色底纹 - 强调文字颜色 51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1">
    <w:name w:val="浅色列表 - 强调文字颜色 51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
    <w:name w:val="中等深浅列表 2 - 强调文字颜色 51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
    <w:name w:val="中等深浅网格 3 - 强调文字颜色 51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
    <w:name w:val="彩色网格 - 强调文字颜色 51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0">
    <w:name w:val="中等深浅网格 2 - 强调文字颜色 51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
    <w:name w:val="中等深浅底纹 2 - 强调文字颜色 51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
    <w:name w:val="中等深浅底纹 1 - 强调文字颜色 52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0">
    <w:name w:val="浅色底纹 - 强调文字颜色 52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1">
    <w:name w:val="浅色列表 - 强调文字颜色 52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
    <w:name w:val="中等深浅列表 2 - 强调文字颜色 52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
    <w:name w:val="中等深浅网格 3 - 强调文字颜色 52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
    <w:name w:val="彩色网格 - 强调文字颜色 52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0">
    <w:name w:val="中等深浅网格 2 - 强调文字颜色 52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
    <w:name w:val="中等深浅底纹 2 - 强调文字颜色 52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1">
    <w:name w:val="简明型 1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
    <w:name w:val="浅色底纹 - 着色 33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
    <w:name w:val="网格型 8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
    <w:name w:val="浅色底纹 - 强调文字颜色 113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0">
    <w:name w:val="浅色列表 - 强调文字颜色 113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
    <w:name w:val="中等深浅网格 3 - 着色 53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2">
    <w:name w:val="中等深浅网格 3 - 着色 13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2">
    <w:name w:val="浅色网格 - 着色 53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20">
    <w:name w:val="彩色底纹 - 着色 53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0">
    <w:name w:val="浅色底纹14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
    <w:name w:val="列表型 3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3">
    <w:name w:val="表格主题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古典型 1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3">
    <w:name w:val="网格型13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浅色底纹 - 着色 43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
    <w:name w:val="浅色底纹 - 着色 53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
    <w:name w:val="浅色底纹113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
    <w:name w:val="中等深浅底纹 1 - 着色 63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
    <w:name w:val="浅色列表 - 着色 63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
    <w:name w:val="网格表 4 - 着色 114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
    <w:name w:val="网格表 5 深色 - 着色 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
    <w:name w:val="网格表 5 深色 - 着色 5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
    <w:name w:val="网格表 4 - 着色 1113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
    <w:name w:val="网格表 5 深色 - 着色 1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
    <w:name w:val="网格表 5 深色 - 着色 5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0">
    <w:name w:val="网格型5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中等深浅列表 214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
    <w:name w:val="中等深浅底纹 1 - 强调文字颜色 514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0">
    <w:name w:val="浅色底纹 - 强调文字颜色 514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1">
    <w:name w:val="浅色列表 - 强调文字颜色 514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
    <w:name w:val="中等深浅列表 2 - 强调文字颜色 514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
    <w:name w:val="中等深浅网格 3 - 强调文字颜色 514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
    <w:name w:val="彩色网格 - 强调文字颜色 514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0">
    <w:name w:val="中等深浅网格 2 - 强调文字颜色 514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
    <w:name w:val="中等深浅底纹 2 - 强调文字颜色 514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
    <w:name w:val="中等深浅底纹 1 - 强调文字颜色 524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0">
    <w:name w:val="浅色底纹 - 强调文字颜色 524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1">
    <w:name w:val="浅色列表 - 强调文字颜色 524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
    <w:name w:val="中等深浅列表 2 - 强调文字颜色 524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
    <w:name w:val="中等深浅网格 3 - 强调文字颜色 524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
    <w:name w:val="彩色网格 - 强调文字颜色 524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0">
    <w:name w:val="中等深浅网格 2 - 强调文字颜色 524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
    <w:name w:val="中等深浅底纹 2 - 强调文字颜色 524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1">
    <w:name w:val="简明型 14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
    <w:name w:val="浅色底纹 - 着色 34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
    <w:name w:val="网格型 84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
    <w:name w:val="浅色底纹 - 强调文字颜色 114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0">
    <w:name w:val="浅色列表 - 强调文字颜色 114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
    <w:name w:val="中等深浅网格 3 - 着色 54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2">
    <w:name w:val="中等深浅网格 3 - 着色 14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2">
    <w:name w:val="浅色网格 - 着色 54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20">
    <w:name w:val="彩色底纹 - 着色 54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0">
    <w:name w:val="浅色底纹15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
    <w:name w:val="列表型 34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
    <w:name w:val="表格主题4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古典型 14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3">
    <w:name w:val="网格型14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浅色底纹 - 着色 44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
    <w:name w:val="浅色底纹 - 着色 54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
    <w:name w:val="浅色底纹114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
    <w:name w:val="中等深浅底纹 1 - 着色 64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
    <w:name w:val="浅色列表 - 着色 64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
    <w:name w:val="网格表 4 - 着色 115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
    <w:name w:val="网格表 5 深色 - 着色 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
    <w:name w:val="网格表 5 深色 - 着色 5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
    <w:name w:val="网格表 4 - 着色 1114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
    <w:name w:val="网格表 5 深色 - 着色 1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
    <w:name w:val="网格表 5 深色 - 着色 5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
    <w:name w:val="网格型6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中等深浅列表 215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
    <w:name w:val="中等深浅底纹 1 - 强调文字颜色 51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0">
    <w:name w:val="浅色底纹 - 强调文字颜色 51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1">
    <w:name w:val="浅色列表 - 强调文字颜色 51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
    <w:name w:val="中等深浅列表 2 - 强调文字颜色 51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
    <w:name w:val="中等深浅网格 3 - 强调文字颜色 51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
    <w:name w:val="彩色网格 - 强调文字颜色 51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0">
    <w:name w:val="中等深浅网格 2 - 强调文字颜色 51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
    <w:name w:val="中等深浅底纹 2 - 强调文字颜色 51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
    <w:name w:val="中等深浅底纹 1 - 强调文字颜色 52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0">
    <w:name w:val="浅色底纹 - 强调文字颜色 52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1">
    <w:name w:val="浅色列表 - 强调文字颜色 52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
    <w:name w:val="中等深浅列表 2 - 强调文字颜色 52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
    <w:name w:val="中等深浅网格 3 - 强调文字颜色 52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
    <w:name w:val="彩色网格 - 强调文字颜色 52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0">
    <w:name w:val="中等深浅网格 2 - 强调文字颜色 52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
    <w:name w:val="中等深浅底纹 2 - 强调文字颜色 52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简明型 15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
    <w:name w:val="浅色底纹 - 着色 35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
    <w:name w:val="网格型 85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
    <w:name w:val="浅色底纹 - 强调文字颜色 115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0">
    <w:name w:val="浅色列表 - 强调文字颜色 115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
    <w:name w:val="中等深浅网格 3 - 着色 5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2">
    <w:name w:val="中等深浅网格 3 - 着色 1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2">
    <w:name w:val="浅色网格 - 着色 55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20">
    <w:name w:val="彩色底纹 - 着色 55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0">
    <w:name w:val="浅色底纹16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
    <w:name w:val="列表型 35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1">
    <w:name w:val="表格主题5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古典型 15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3">
    <w:name w:val="网格型15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浅色底纹 - 着色 45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
    <w:name w:val="浅色底纹 - 着色 55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
    <w:name w:val="浅色底纹115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
    <w:name w:val="中等深浅底纹 1 - 着色 65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
    <w:name w:val="浅色列表 - 着色 65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
    <w:name w:val="网格表 4 - 着色 116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
    <w:name w:val="网格表 5 深色 - 着色 116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
    <w:name w:val="网格表 5 深色 - 着色 516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
    <w:name w:val="网格表 4 - 着色 1115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
    <w:name w:val="网格表 5 深色 - 着色 1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
    <w:name w:val="网格表 5 深色 - 着色 5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
    <w:name w:val="网格型9"/>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中等深浅列表 218"/>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
    <w:name w:val="中等深浅底纹 1 - 强调文字颜色 518"/>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
    <w:name w:val="浅色底纹 - 强调文字颜色 518"/>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0">
    <w:name w:val="浅色列表 - 强调文字颜色 518"/>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
    <w:name w:val="中等深浅列表 2 - 强调文字颜色 518"/>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
    <w:name w:val="中等深浅网格 3 - 强调文字颜色 518"/>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
    <w:name w:val="彩色网格 - 强调文字颜色 518"/>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0">
    <w:name w:val="中等深浅网格 2 - 强调文字颜色 518"/>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
    <w:name w:val="中等深浅底纹 2 - 强调文字颜色 518"/>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
    <w:name w:val="中等深浅底纹 1 - 强调文字颜色 528"/>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
    <w:name w:val="浅色底纹 - 强调文字颜色 528"/>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0">
    <w:name w:val="浅色列表 - 强调文字颜色 528"/>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
    <w:name w:val="中等深浅列表 2 - 强调文字颜色 528"/>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
    <w:name w:val="中等深浅网格 3 - 强调文字颜色 528"/>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
    <w:name w:val="彩色网格 - 强调文字颜色 528"/>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0">
    <w:name w:val="中等深浅网格 2 - 强调文字颜色 528"/>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
    <w:name w:val="中等深浅底纹 2 - 强调文字颜色 528"/>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1">
    <w:name w:val="简明型 18"/>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
    <w:name w:val="浅色底纹 - 着色 38"/>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
    <w:name w:val="网格型 88"/>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
    <w:name w:val="浅色底纹 - 强调文字颜色 118"/>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0">
    <w:name w:val="浅色列表 - 强调文字颜色 118"/>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
    <w:name w:val="中等深浅网格 3 - 着色 58"/>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8">
    <w:name w:val="中等深浅网格 3 - 着色 18"/>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8">
    <w:name w:val="浅色网格 - 着色 58"/>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80">
    <w:name w:val="彩色底纹 - 着色 58"/>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0">
    <w:name w:val="浅色底纹19"/>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
    <w:name w:val="列表型 38"/>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9">
    <w:name w:val="表格主题8"/>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古典型 18"/>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3">
    <w:name w:val="网格型18"/>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浅色底纹 - 着色 48"/>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
    <w:name w:val="浅色底纹 - 着色 58"/>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
    <w:name w:val="浅色底纹118"/>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
    <w:name w:val="中等深浅底纹 1 - 着色 68"/>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
    <w:name w:val="浅色列表 - 着色 68"/>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
    <w:name w:val="网格表 4 - 着色 119"/>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
    <w:name w:val="网格表 5 深色 - 着色 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
    <w:name w:val="网格表 5 深色 - 着色 5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
    <w:name w:val="网格表 4 - 着色 1118"/>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
    <w:name w:val="网格表 5 深色 - 着色 1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
    <w:name w:val="网格表 5 深色 - 着色 5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0">
    <w:name w:val="网格型2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中等深浅列表 211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
    <w:name w:val="中等深浅底纹 1 - 强调文字颜色 51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0">
    <w:name w:val="浅色底纹 - 强调文字颜色 51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1">
    <w:name w:val="浅色列表 - 强调文字颜色 51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
    <w:name w:val="中等深浅列表 2 - 强调文字颜色 51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
    <w:name w:val="中等深浅网格 3 - 强调文字颜色 51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
    <w:name w:val="彩色网格 - 强调文字颜色 51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0">
    <w:name w:val="中等深浅网格 2 - 强调文字颜色 51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
    <w:name w:val="中等深浅底纹 2 - 强调文字颜色 51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
    <w:name w:val="中等深浅底纹 1 - 强调文字颜色 52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0">
    <w:name w:val="浅色底纹 - 强调文字颜色 52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1">
    <w:name w:val="浅色列表 - 强调文字颜色 52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
    <w:name w:val="中等深浅列表 2 - 强调文字颜色 52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
    <w:name w:val="中等深浅网格 3 - 强调文字颜色 52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
    <w:name w:val="彩色网格 - 强调文字颜色 52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0">
    <w:name w:val="中等深浅网格 2 - 强调文字颜色 52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
    <w:name w:val="中等深浅底纹 2 - 强调文字颜色 52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3">
    <w:name w:val="简明型 11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
    <w:name w:val="浅色底纹 - 着色 31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
    <w:name w:val="网格型 81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
    <w:name w:val="浅色底纹 - 强调文字颜色 111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0">
    <w:name w:val="浅色列表 - 强调文字颜色 111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0">
    <w:name w:val="中等深浅网格 3 - 着色 5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3">
    <w:name w:val="中等深浅网格 3 - 着色 1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3">
    <w:name w:val="浅色网格 - 着色 51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34">
    <w:name w:val="彩色底纹 - 着色 51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0">
    <w:name w:val="浅色底纹12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0">
    <w:name w:val="列表型 31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4">
    <w:name w:val="表格主题1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古典型 11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5">
    <w:name w:val="网格型11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浅色底纹 - 着色 41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5">
    <w:name w:val="浅色底纹 - 着色 51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0">
    <w:name w:val="浅色底纹111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
    <w:name w:val="中等深浅底纹 1 - 着色 61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
    <w:name w:val="浅色列表 - 着色 61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
    <w:name w:val="网格表 4 - 着色 112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
    <w:name w:val="网格表 5 深色 - 着色 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
    <w:name w:val="网格表 5 深色 - 着色 5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
    <w:name w:val="网格表 4 - 着色 11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
    <w:name w:val="网格表 5 深色 - 着色 1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
    <w:name w:val="网格表 5 深色 - 着色 5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3">
    <w:name w:val="网格型3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中等深浅列表 212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
    <w:name w:val="中等深浅底纹 1 - 强调文字颜色 51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0">
    <w:name w:val="浅色底纹 - 强调文字颜色 51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1">
    <w:name w:val="浅色列表 - 强调文字颜色 51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
    <w:name w:val="中等深浅列表 2 - 强调文字颜色 51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
    <w:name w:val="中等深浅网格 3 - 强调文字颜色 51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
    <w:name w:val="彩色网格 - 强调文字颜色 51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0">
    <w:name w:val="中等深浅网格 2 - 强调文字颜色 51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
    <w:name w:val="中等深浅底纹 2 - 强调文字颜色 51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
    <w:name w:val="中等深浅底纹 1 - 强调文字颜色 52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0">
    <w:name w:val="浅色底纹 - 强调文字颜色 52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1">
    <w:name w:val="浅色列表 - 强调文字颜色 52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
    <w:name w:val="中等深浅列表 2 - 强调文字颜色 52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
    <w:name w:val="中等深浅网格 3 - 强调文字颜色 52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
    <w:name w:val="彩色网格 - 强调文字颜色 52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0">
    <w:name w:val="中等深浅网格 2 - 强调文字颜色 52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
    <w:name w:val="中等深浅底纹 2 - 强调文字颜色 52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1">
    <w:name w:val="简明型 12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
    <w:name w:val="浅色底纹 - 着色 32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
    <w:name w:val="网格型 82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
    <w:name w:val="浅色底纹 - 强调文字颜色 112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0">
    <w:name w:val="浅色列表 - 强调文字颜色 112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0">
    <w:name w:val="中等深浅网格 3 - 着色 52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3">
    <w:name w:val="中等深浅网格 3 - 着色 12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3">
    <w:name w:val="浅色网格 - 着色 52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34">
    <w:name w:val="彩色底纹 - 着色 52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0">
    <w:name w:val="浅色底纹13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0">
    <w:name w:val="列表型 32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1">
    <w:name w:val="表格主题2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古典型 12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3">
    <w:name w:val="网格型12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浅色底纹 - 着色 42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5">
    <w:name w:val="浅色底纹 - 着色 52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0">
    <w:name w:val="浅色底纹112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
    <w:name w:val="中等深浅底纹 1 - 着色 62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
    <w:name w:val="浅色列表 - 着色 62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
    <w:name w:val="网格表 4 - 着色 113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
    <w:name w:val="网格表 5 深色 - 着色 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
    <w:name w:val="网格表 5 深色 - 着色 5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
    <w:name w:val="网格表 4 - 着色 1112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
    <w:name w:val="网格表 5 深色 - 着色 1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
    <w:name w:val="网格表 5 深色 - 着色 5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0">
    <w:name w:val="网格型4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中等深浅列表 213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
    <w:name w:val="中等深浅底纹 1 - 强调文字颜色 513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0">
    <w:name w:val="浅色底纹 - 强调文字颜色 513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1">
    <w:name w:val="浅色列表 - 强调文字颜色 513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
    <w:name w:val="中等深浅列表 2 - 强调文字颜色 513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
    <w:name w:val="中等深浅网格 3 - 强调文字颜色 513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
    <w:name w:val="彩色网格 - 强调文字颜色 513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0">
    <w:name w:val="中等深浅网格 2 - 强调文字颜色 513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
    <w:name w:val="中等深浅底纹 2 - 强调文字颜色 513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
    <w:name w:val="中等深浅底纹 1 - 强调文字颜色 523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0">
    <w:name w:val="浅色底纹 - 强调文字颜色 523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1">
    <w:name w:val="浅色列表 - 强调文字颜色 523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
    <w:name w:val="中等深浅列表 2 - 强调文字颜色 523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
    <w:name w:val="中等深浅网格 3 - 强调文字颜色 523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
    <w:name w:val="彩色网格 - 强调文字颜色 523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0">
    <w:name w:val="中等深浅网格 2 - 强调文字颜色 523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
    <w:name w:val="中等深浅底纹 2 - 强调文字颜色 523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1">
    <w:name w:val="简明型 13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
    <w:name w:val="浅色底纹 - 着色 33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
    <w:name w:val="网格型 83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
    <w:name w:val="浅色底纹 - 强调文字颜色 113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0">
    <w:name w:val="浅色列表 - 强调文字颜色 113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
    <w:name w:val="中等深浅网格 3 - 着色 53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3">
    <w:name w:val="中等深浅网格 3 - 着色 13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3">
    <w:name w:val="浅色网格 - 着色 53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30">
    <w:name w:val="彩色底纹 - 着色 53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0">
    <w:name w:val="浅色底纹14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0">
    <w:name w:val="列表型 33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4">
    <w:name w:val="表格主题3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古典型 13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3">
    <w:name w:val="网格型13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浅色底纹 - 着色 43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
    <w:name w:val="浅色底纹 - 着色 53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0">
    <w:name w:val="浅色底纹113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
    <w:name w:val="中等深浅底纹 1 - 着色 63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
    <w:name w:val="浅色列表 - 着色 63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
    <w:name w:val="网格表 4 - 着色 114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
    <w:name w:val="网格表 5 深色 - 着色 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
    <w:name w:val="网格表 5 深色 - 着色 5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
    <w:name w:val="网格表 4 - 着色 1113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
    <w:name w:val="网格表 5 深色 - 着色 1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
    <w:name w:val="网格表 5 深色 - 着色 5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
    <w:name w:val="网格型5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中等深浅列表 214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
    <w:name w:val="中等深浅底纹 1 - 强调文字颜色 514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
    <w:name w:val="浅色底纹 - 强调文字颜色 514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0">
    <w:name w:val="浅色列表 - 强调文字颜色 514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
    <w:name w:val="中等深浅列表 2 - 强调文字颜色 514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
    <w:name w:val="中等深浅网格 3 - 强调文字颜色 514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
    <w:name w:val="彩色网格 - 强调文字颜色 514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0">
    <w:name w:val="中等深浅网格 2 - 强调文字颜色 514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
    <w:name w:val="中等深浅底纹 2 - 强调文字颜色 514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
    <w:name w:val="中等深浅底纹 1 - 强调文字颜色 524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
    <w:name w:val="浅色底纹 - 强调文字颜色 524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0">
    <w:name w:val="浅色列表 - 强调文字颜色 524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
    <w:name w:val="中等深浅列表 2 - 强调文字颜色 524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
    <w:name w:val="中等深浅网格 3 - 强调文字颜色 524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
    <w:name w:val="彩色网格 - 强调文字颜色 524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0">
    <w:name w:val="中等深浅网格 2 - 强调文字颜色 524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
    <w:name w:val="中等深浅底纹 2 - 强调文字颜色 5243"/>
    <w:autoRedefine/>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1">
    <w:name w:val="简明型 14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
    <w:name w:val="浅色底纹 - 着色 34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
    <w:name w:val="网格型 84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
    <w:name w:val="浅色底纹 - 强调文字颜色 114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0">
    <w:name w:val="浅色列表 - 强调文字颜色 114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
    <w:name w:val="中等深浅网格 3 - 着色 54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3">
    <w:name w:val="中等深浅网格 3 - 着色 14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3">
    <w:name w:val="浅色网格 - 着色 54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30">
    <w:name w:val="彩色底纹 - 着色 54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0">
    <w:name w:val="浅色底纹15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
    <w:name w:val="列表型 34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
    <w:name w:val="表格主题4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古典型 14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3">
    <w:name w:val="网格型14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浅色底纹 - 着色 44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
    <w:name w:val="浅色底纹 - 着色 54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
    <w:name w:val="浅色底纹114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
    <w:name w:val="中等深浅底纹 1 - 着色 64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
    <w:name w:val="浅色列表 - 着色 64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
    <w:name w:val="网格表 4 - 着色 115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
    <w:name w:val="网格表 5 深色 - 着色 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
    <w:name w:val="网格表 5 深色 - 着色 5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
    <w:name w:val="网格表 4 - 着色 1114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
    <w:name w:val="网格表 5 深色 - 着色 1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
    <w:name w:val="网格表 5 深色 - 着色 5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
    <w:name w:val="网格型6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中等深浅列表 215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
    <w:name w:val="中等深浅底纹 1 - 强调文字颜色 515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
    <w:name w:val="浅色底纹 - 强调文字颜色 515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0">
    <w:name w:val="浅色列表 - 强调文字颜色 515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
    <w:name w:val="中等深浅列表 2 - 强调文字颜色 515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
    <w:name w:val="中等深浅网格 3 - 强调文字颜色 515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
    <w:name w:val="彩色网格 - 强调文字颜色 515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0">
    <w:name w:val="中等深浅网格 2 - 强调文字颜色 515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
    <w:name w:val="中等深浅底纹 2 - 强调文字颜色 515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
    <w:name w:val="中等深浅底纹 1 - 强调文字颜色 525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
    <w:name w:val="浅色底纹 - 强调文字颜色 525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0">
    <w:name w:val="浅色列表 - 强调文字颜色 525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
    <w:name w:val="中等深浅列表 2 - 强调文字颜色 525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
    <w:name w:val="中等深浅网格 3 - 强调文字颜色 525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
    <w:name w:val="彩色网格 - 强调文字颜色 525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0">
    <w:name w:val="中等深浅网格 2 - 强调文字颜色 525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
    <w:name w:val="中等深浅底纹 2 - 强调文字颜色 525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1">
    <w:name w:val="简明型 15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
    <w:name w:val="浅色底纹 - 着色 35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
    <w:name w:val="网格型 85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
    <w:name w:val="浅色底纹 - 强调文字颜色 115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0">
    <w:name w:val="浅色列表 - 强调文字颜色 115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
    <w:name w:val="中等深浅网格 3 - 着色 5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3">
    <w:name w:val="中等深浅网格 3 - 着色 1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3">
    <w:name w:val="浅色网格 - 着色 55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30">
    <w:name w:val="彩色底纹 - 着色 55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0">
    <w:name w:val="浅色底纹16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
    <w:name w:val="列表型 35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0">
    <w:name w:val="表格主题5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古典型 15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3">
    <w:name w:val="网格型15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浅色底纹 - 着色 45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
    <w:name w:val="浅色底纹 - 着色 55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
    <w:name w:val="浅色底纹115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
    <w:name w:val="中等深浅底纹 1 - 着色 65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
    <w:name w:val="浅色列表 - 着色 65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
    <w:name w:val="网格表 4 - 着色 116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
    <w:name w:val="网格表 5 深色 - 着色 116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
    <w:name w:val="网格表 5 深色 - 着色 516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
    <w:name w:val="网格表 4 - 着色 1115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
    <w:name w:val="网格表 5 深色 - 着色 1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
    <w:name w:val="网格表 5 深色 - 着色 5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bjh-p">
    <w:name w:val="bjh-p"/>
    <w:basedOn w:val="a0"/>
    <w:qFormat/>
  </w:style>
  <w:style w:type="table" w:customStyle="1" w:styleId="100">
    <w:name w:val="网格型10"/>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中等深浅列表 219"/>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
    <w:name w:val="中等深浅底纹 1 - 强调文字颜色 519"/>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
    <w:name w:val="浅色底纹 - 强调文字颜色 519"/>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90">
    <w:name w:val="浅色列表 - 强调文字颜色 519"/>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
    <w:name w:val="中等深浅列表 2 - 强调文字颜色 519"/>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
    <w:name w:val="中等深浅网格 3 - 强调文字颜色 51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
    <w:name w:val="彩色网格 - 强调文字颜色 519"/>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0">
    <w:name w:val="中等深浅网格 2 - 强调文字颜色 519"/>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
    <w:name w:val="中等深浅底纹 2 - 强调文字颜色 519"/>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9">
    <w:name w:val="中等深浅底纹 1 - 强调文字颜色 529"/>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
    <w:name w:val="浅色底纹 - 强调文字颜色 529"/>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90">
    <w:name w:val="浅色列表 - 强调文字颜色 529"/>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
    <w:name w:val="中等深浅列表 2 - 强调文字颜色 529"/>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
    <w:name w:val="中等深浅网格 3 - 强调文字颜色 52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
    <w:name w:val="彩色网格 - 强调文字颜色 529"/>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0">
    <w:name w:val="中等深浅网格 2 - 强调文字颜色 529"/>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
    <w:name w:val="中等深浅底纹 2 - 强调文字颜色 529"/>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91">
    <w:name w:val="简明型 19"/>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9">
    <w:name w:val="浅色底纹 - 着色 39"/>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90">
    <w:name w:val="网格型 89"/>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9">
    <w:name w:val="浅色底纹 - 强调文字颜色 119"/>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90">
    <w:name w:val="浅色列表 - 强调文字颜色 119"/>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9">
    <w:name w:val="中等深浅网格 3 - 着色 59"/>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9">
    <w:name w:val="中等深浅网格 3 - 着色 19"/>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9">
    <w:name w:val="浅色网格 - 着色 59"/>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90">
    <w:name w:val="彩色底纹 - 着色 59"/>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100">
    <w:name w:val="浅色底纹110"/>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9">
    <w:name w:val="列表型 39"/>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90">
    <w:name w:val="表格主题9"/>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古典型 19"/>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93">
    <w:name w:val="网格型19"/>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浅色底纹 - 着色 49"/>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91">
    <w:name w:val="浅色底纹 - 着色 59"/>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9">
    <w:name w:val="浅色底纹119"/>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9">
    <w:name w:val="中等深浅底纹 1 - 着色 69"/>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9">
    <w:name w:val="浅色列表 - 着色 69"/>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10">
    <w:name w:val="网格表 4 - 着色 111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0">
    <w:name w:val="网格表 5 深色 - 着色 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0">
    <w:name w:val="网格表 5 深色 - 着色 5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9">
    <w:name w:val="网格表 4 - 着色 1119"/>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9">
    <w:name w:val="网格表 5 深色 - 着色 1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9">
    <w:name w:val="网格表 5 深色 - 着色 5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40">
    <w:name w:val="网格型2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中等深浅列表 211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
    <w:name w:val="中等深浅底纹 1 - 强调文字颜色 51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0">
    <w:name w:val="浅色底纹 - 强调文字颜色 51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41">
    <w:name w:val="浅色列表 - 强调文字颜色 51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
    <w:name w:val="中等深浅列表 2 - 强调文字颜色 51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
    <w:name w:val="中等深浅网格 3 - 强调文字颜色 51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2">
    <w:name w:val="彩色网格 - 强调文字颜色 51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0">
    <w:name w:val="中等深浅网格 2 - 强调文字颜色 51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
    <w:name w:val="中等深浅底纹 2 - 强调文字颜色 51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4">
    <w:name w:val="中等深浅底纹 1 - 强调文字颜色 52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0">
    <w:name w:val="浅色底纹 - 强调文字颜色 52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41">
    <w:name w:val="浅色列表 - 强调文字颜色 52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
    <w:name w:val="中等深浅列表 2 - 强调文字颜色 52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
    <w:name w:val="中等深浅网格 3 - 强调文字颜色 52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2">
    <w:name w:val="彩色网格 - 强调文字颜色 52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0">
    <w:name w:val="中等深浅网格 2 - 强调文字颜色 52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
    <w:name w:val="中等深浅底纹 2 - 强调文字颜色 52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40">
    <w:name w:val="简明型 11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4">
    <w:name w:val="浅色底纹 - 着色 31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4">
    <w:name w:val="网格型 81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4">
    <w:name w:val="浅色底纹 - 强调文字颜色 111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40">
    <w:name w:val="浅色列表 - 强调文字颜色 111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40">
    <w:name w:val="中等深浅网格 3 - 着色 5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4">
    <w:name w:val="中等深浅网格 3 - 着色 1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44">
    <w:name w:val="浅色网格 - 着色 51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45">
    <w:name w:val="彩色底纹 - 着色 51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40">
    <w:name w:val="浅色底纹12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列表型 31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44">
    <w:name w:val="表格主题1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古典型 11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45">
    <w:name w:val="网格型11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浅色底纹 - 着色 41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6">
    <w:name w:val="浅色底纹 - 着色 51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4">
    <w:name w:val="浅色底纹111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4">
    <w:name w:val="中等深浅底纹 1 - 着色 61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4">
    <w:name w:val="浅色列表 - 着色 61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4">
    <w:name w:val="网格表 4 - 着色 112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4">
    <w:name w:val="网格表 5 深色 - 着色 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4">
    <w:name w:val="网格表 5 深色 - 着色 5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4">
    <w:name w:val="网格表 4 - 着色 11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4">
    <w:name w:val="网格表 5 深色 - 着色 1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4">
    <w:name w:val="网格表 5 深色 - 着色 5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44">
    <w:name w:val="网格型3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中等深浅列表 212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
    <w:name w:val="中等深浅底纹 1 - 强调文字颜色 51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0">
    <w:name w:val="浅色底纹 - 强调文字颜色 51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41">
    <w:name w:val="浅色列表 - 强调文字颜色 51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
    <w:name w:val="中等深浅列表 2 - 强调文字颜色 51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
    <w:name w:val="中等深浅网格 3 - 强调文字颜色 51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2">
    <w:name w:val="彩色网格 - 强调文字颜色 51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0">
    <w:name w:val="中等深浅网格 2 - 强调文字颜色 51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
    <w:name w:val="中等深浅底纹 2 - 强调文字颜色 51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4">
    <w:name w:val="中等深浅底纹 1 - 强调文字颜色 52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0">
    <w:name w:val="浅色底纹 - 强调文字颜色 52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41">
    <w:name w:val="浅色列表 - 强调文字颜色 52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
    <w:name w:val="中等深浅列表 2 - 强调文字颜色 52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
    <w:name w:val="中等深浅网格 3 - 强调文字颜色 52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2">
    <w:name w:val="彩色网格 - 强调文字颜色 52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0">
    <w:name w:val="中等深浅网格 2 - 强调文字颜色 52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
    <w:name w:val="中等深浅底纹 2 - 强调文字颜色 52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41">
    <w:name w:val="简明型 12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4">
    <w:name w:val="浅色底纹 - 着色 32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4">
    <w:name w:val="网格型 82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4">
    <w:name w:val="浅色底纹 - 强调文字颜色 112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40">
    <w:name w:val="浅色列表 - 强调文字颜色 112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40">
    <w:name w:val="中等深浅网格 3 - 着色 52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4">
    <w:name w:val="中等深浅网格 3 - 着色 12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44">
    <w:name w:val="浅色网格 - 着色 52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45">
    <w:name w:val="彩色底纹 - 着色 52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40">
    <w:name w:val="浅色底纹13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列表型 32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41">
    <w:name w:val="表格主题2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古典型 12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43">
    <w:name w:val="网格型12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浅色底纹 - 着色 42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46">
    <w:name w:val="浅色底纹 - 着色 52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40">
    <w:name w:val="浅色底纹112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4">
    <w:name w:val="中等深浅底纹 1 - 着色 62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4">
    <w:name w:val="浅色列表 - 着色 62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4">
    <w:name w:val="网格表 4 - 着色 113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4">
    <w:name w:val="网格表 5 深色 - 着色 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4">
    <w:name w:val="网格表 5 深色 - 着色 5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4">
    <w:name w:val="网格表 4 - 着色 1112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4">
    <w:name w:val="网格表 5 深色 - 着色 1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4">
    <w:name w:val="网格表 5 深色 - 着色 5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4">
    <w:name w:val="网格型4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中等深浅列表 213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
    <w:name w:val="中等深浅底纹 1 - 强调文字颜色 513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0">
    <w:name w:val="浅色底纹 - 强调文字颜色 513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41">
    <w:name w:val="浅色列表 - 强调文字颜色 513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
    <w:name w:val="中等深浅列表 2 - 强调文字颜色 513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
    <w:name w:val="中等深浅网格 3 - 强调文字颜色 513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2">
    <w:name w:val="彩色网格 - 强调文字颜色 513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0">
    <w:name w:val="中等深浅网格 2 - 强调文字颜色 513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
    <w:name w:val="中等深浅底纹 2 - 强调文字颜色 513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4">
    <w:name w:val="中等深浅底纹 1 - 强调文字颜色 523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0">
    <w:name w:val="浅色底纹 - 强调文字颜色 523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41">
    <w:name w:val="浅色列表 - 强调文字颜色 523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
    <w:name w:val="中等深浅列表 2 - 强调文字颜色 523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
    <w:name w:val="中等深浅网格 3 - 强调文字颜色 523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2">
    <w:name w:val="彩色网格 - 强调文字颜色 523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0">
    <w:name w:val="中等深浅网格 2 - 强调文字颜色 523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
    <w:name w:val="中等深浅底纹 2 - 强调文字颜色 523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41">
    <w:name w:val="简明型 13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4">
    <w:name w:val="浅色底纹 - 着色 33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4">
    <w:name w:val="网格型 83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4">
    <w:name w:val="浅色底纹 - 强调文字颜色 113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40">
    <w:name w:val="浅色列表 - 强调文字颜色 113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4">
    <w:name w:val="中等深浅网格 3 - 着色 53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4">
    <w:name w:val="中等深浅网格 3 - 着色 13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4">
    <w:name w:val="浅色网格 - 着色 53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40">
    <w:name w:val="彩色底纹 - 着色 53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40">
    <w:name w:val="浅色底纹14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40">
    <w:name w:val="列表型 33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45">
    <w:name w:val="表格主题3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古典型 13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43">
    <w:name w:val="网格型13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浅色底纹 - 着色 43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41">
    <w:name w:val="浅色底纹 - 着色 53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40">
    <w:name w:val="浅色底纹113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4">
    <w:name w:val="中等深浅底纹 1 - 着色 63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4">
    <w:name w:val="浅色列表 - 着色 63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4">
    <w:name w:val="网格表 4 - 着色 114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4">
    <w:name w:val="网格表 5 深色 - 着色 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4">
    <w:name w:val="网格表 5 深色 - 着色 5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4">
    <w:name w:val="网格表 4 - 着色 1113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4">
    <w:name w:val="网格表 5 深色 - 着色 1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4">
    <w:name w:val="网格表 5 深色 - 着色 5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4">
    <w:name w:val="网格型5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中等深浅列表 214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
    <w:name w:val="中等深浅底纹 1 - 强调文字颜色 514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0">
    <w:name w:val="浅色底纹 - 强调文字颜色 514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41">
    <w:name w:val="浅色列表 - 强调文字颜色 514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
    <w:name w:val="中等深浅列表 2 - 强调文字颜色 514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
    <w:name w:val="中等深浅网格 3 - 强调文字颜色 514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2">
    <w:name w:val="彩色网格 - 强调文字颜色 514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0">
    <w:name w:val="中等深浅网格 2 - 强调文字颜色 514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
    <w:name w:val="中等深浅底纹 2 - 强调文字颜色 514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4">
    <w:name w:val="中等深浅底纹 1 - 强调文字颜色 524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0">
    <w:name w:val="浅色底纹 - 强调文字颜色 524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41">
    <w:name w:val="浅色列表 - 强调文字颜色 524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
    <w:name w:val="中等深浅列表 2 - 强调文字颜色 524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
    <w:name w:val="中等深浅网格 3 - 强调文字颜色 524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2">
    <w:name w:val="彩色网格 - 强调文字颜色 524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0">
    <w:name w:val="中等深浅网格 2 - 强调文字颜色 524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
    <w:name w:val="中等深浅底纹 2 - 强调文字颜色 524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41">
    <w:name w:val="简明型 14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4">
    <w:name w:val="浅色底纹 - 着色 34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4">
    <w:name w:val="网格型 84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4">
    <w:name w:val="浅色底纹 - 强调文字颜色 114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40">
    <w:name w:val="浅色列表 - 强调文字颜色 114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4">
    <w:name w:val="中等深浅网格 3 - 着色 54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4">
    <w:name w:val="中等深浅网格 3 - 着色 14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4">
    <w:name w:val="浅色网格 - 着色 54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40">
    <w:name w:val="彩色底纹 - 着色 54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4">
    <w:name w:val="浅色底纹15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40">
    <w:name w:val="列表型 34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0">
    <w:name w:val="表格主题4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古典型 14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43">
    <w:name w:val="网格型14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浅色底纹 - 着色 44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41">
    <w:name w:val="浅色底纹 - 着色 54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40">
    <w:name w:val="浅色底纹114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4">
    <w:name w:val="中等深浅底纹 1 - 着色 64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4">
    <w:name w:val="浅色列表 - 着色 64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4">
    <w:name w:val="网格表 4 - 着色 115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4">
    <w:name w:val="网格表 5 深色 - 着色 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4">
    <w:name w:val="网格表 5 深色 - 着色 5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4">
    <w:name w:val="网格表 4 - 着色 1114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4">
    <w:name w:val="网格表 5 深色 - 着色 1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4">
    <w:name w:val="网格表 5 深色 - 着色 5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4">
    <w:name w:val="网格型6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中等深浅列表 215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
    <w:name w:val="中等深浅底纹 1 - 强调文字颜色 515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
    <w:name w:val="浅色底纹 - 强调文字颜色 515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40">
    <w:name w:val="浅色列表 - 强调文字颜色 515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
    <w:name w:val="中等深浅列表 2 - 强调文字颜色 515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
    <w:name w:val="中等深浅网格 3 - 强调文字颜色 515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
    <w:name w:val="彩色网格 - 强调文字颜色 515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0">
    <w:name w:val="中等深浅网格 2 - 强调文字颜色 515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
    <w:name w:val="中等深浅底纹 2 - 强调文字颜色 515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4">
    <w:name w:val="中等深浅底纹 1 - 强调文字颜色 525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
    <w:name w:val="浅色底纹 - 强调文字颜色 525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40">
    <w:name w:val="浅色列表 - 强调文字颜色 525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
    <w:name w:val="中等深浅列表 2 - 强调文字颜色 525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
    <w:name w:val="中等深浅网格 3 - 强调文字颜色 525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
    <w:name w:val="彩色网格 - 强调文字颜色 525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0">
    <w:name w:val="中等深浅网格 2 - 强调文字颜色 525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
    <w:name w:val="中等深浅底纹 2 - 强调文字颜色 525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40">
    <w:name w:val="简明型 15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4">
    <w:name w:val="浅色底纹 - 着色 35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4">
    <w:name w:val="网格型 85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4">
    <w:name w:val="浅色底纹 - 强调文字颜色 115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40">
    <w:name w:val="浅色列表 - 强调文字颜色 115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4">
    <w:name w:val="中等深浅网格 3 - 着色 5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4">
    <w:name w:val="中等深浅网格 3 - 着色 1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4">
    <w:name w:val="浅色网格 - 着色 55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40">
    <w:name w:val="彩色底纹 - 着色 55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4">
    <w:name w:val="浅色底纹16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4">
    <w:name w:val="列表型 35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40">
    <w:name w:val="表格主题5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古典型 15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42">
    <w:name w:val="网格型15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浅色底纹 - 着色 45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41">
    <w:name w:val="浅色底纹 - 着色 55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4">
    <w:name w:val="浅色底纹115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4">
    <w:name w:val="中等深浅底纹 1 - 着色 65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4">
    <w:name w:val="浅色列表 - 着色 65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4">
    <w:name w:val="网格表 4 - 着色 116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4">
    <w:name w:val="网格表 5 深色 - 着色 116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4">
    <w:name w:val="网格表 5 深色 - 着色 516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4">
    <w:name w:val="网格表 4 - 着色 1115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4">
    <w:name w:val="网格表 5 深色 - 着色 1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4">
    <w:name w:val="网格表 5 深色 - 着色 5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00">
    <w:name w:val="网格型20"/>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中等深浅列表 2110"/>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
    <w:name w:val="中等深浅底纹 1 - 强调文字颜色 5110"/>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0">
    <w:name w:val="浅色底纹 - 强调文字颜色 5110"/>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01">
    <w:name w:val="浅色列表 - 强调文字颜色 5110"/>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0">
    <w:name w:val="中等深浅列表 2 - 强调文字颜色 5110"/>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0">
    <w:name w:val="中等深浅网格 3 - 强调文字颜色 5110"/>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2">
    <w:name w:val="彩色网格 - 强调文字颜色 5110"/>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
    <w:name w:val="中等深浅网格 2 - 强调文字颜色 5110"/>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2">
    <w:name w:val="中等深浅底纹 2 - 强调文字颜色 5110"/>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0">
    <w:name w:val="中等深浅底纹 1 - 强调文字颜色 5210"/>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0">
    <w:name w:val="浅色底纹 - 强调文字颜色 5210"/>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01">
    <w:name w:val="浅色列表 - 强调文字颜色 5210"/>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0">
    <w:name w:val="中等深浅列表 2 - 强调文字颜色 5210"/>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0">
    <w:name w:val="中等深浅网格 3 - 强调文字颜色 5210"/>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2">
    <w:name w:val="彩色网格 - 强调文字颜色 5210"/>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
    <w:name w:val="中等深浅网格 2 - 强调文字颜色 5210"/>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2">
    <w:name w:val="中等深浅底纹 2 - 强调文字颜色 5210"/>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01">
    <w:name w:val="简明型 110"/>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0">
    <w:name w:val="浅色底纹 - 着色 310"/>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0">
    <w:name w:val="网格型 810"/>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00">
    <w:name w:val="浅色底纹 - 强调文字颜色 1110"/>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1">
    <w:name w:val="浅色列表 - 强调文字颜色 1110"/>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0">
    <w:name w:val="中等深浅网格 3 - 着色 510"/>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0">
    <w:name w:val="中等深浅网格 3 - 着色 110"/>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00">
    <w:name w:val="浅色网格 - 着色 510"/>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01">
    <w:name w:val="彩色底纹 - 着色 510"/>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0">
    <w:name w:val="浅色底纹120"/>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0">
    <w:name w:val="列表型 310"/>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01">
    <w:name w:val="表格主题10"/>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古典型 110"/>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03">
    <w:name w:val="网格型110"/>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浅色底纹 - 着色 410"/>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2">
    <w:name w:val="浅色底纹 - 着色 510"/>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0">
    <w:name w:val="浅色底纹1110"/>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0">
    <w:name w:val="中等深浅底纹 1 - 着色 610"/>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0">
    <w:name w:val="浅色列表 - 着色 610"/>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0">
    <w:name w:val="网格表 4 - 着色 112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0">
    <w:name w:val="网格表 5 深色 - 着色 112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0">
    <w:name w:val="网格表 5 深色 - 着色 512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0">
    <w:name w:val="网格表 4 - 着色 1111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0">
    <w:name w:val="网格表 5 深色 - 着色 1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0">
    <w:name w:val="网格表 5 深色 - 着色 5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50">
    <w:name w:val="网格型2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中等深浅列表 211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
    <w:name w:val="中等深浅底纹 1 - 强调文字颜色 51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0">
    <w:name w:val="浅色底纹 - 强调文字颜色 51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51">
    <w:name w:val="浅色列表 - 强调文字颜色 51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
    <w:name w:val="中等深浅列表 2 - 强调文字颜色 51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
    <w:name w:val="中等深浅网格 3 - 强调文字颜色 51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2">
    <w:name w:val="彩色网格 - 强调文字颜色 51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0">
    <w:name w:val="中等深浅网格 2 - 强调文字颜色 51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
    <w:name w:val="中等深浅底纹 2 - 强调文字颜色 51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5">
    <w:name w:val="中等深浅底纹 1 - 强调文字颜色 52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0">
    <w:name w:val="浅色底纹 - 强调文字颜色 52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51">
    <w:name w:val="浅色列表 - 强调文字颜色 52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
    <w:name w:val="中等深浅列表 2 - 强调文字颜色 52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
    <w:name w:val="中等深浅网格 3 - 强调文字颜色 52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2">
    <w:name w:val="彩色网格 - 强调文字颜色 52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0">
    <w:name w:val="中等深浅网格 2 - 强调文字颜色 52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
    <w:name w:val="中等深浅底纹 2 - 强调文字颜色 52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50">
    <w:name w:val="简明型 11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5">
    <w:name w:val="浅色底纹 - 着色 31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5">
    <w:name w:val="网格型 81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5">
    <w:name w:val="浅色底纹 - 强调文字颜色 111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50">
    <w:name w:val="浅色列表 - 强调文字颜色 111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50">
    <w:name w:val="中等深浅网格 3 - 着色 5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5">
    <w:name w:val="中等深浅网格 3 - 着色 1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55">
    <w:name w:val="浅色网格 - 着色 51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56">
    <w:name w:val="彩色底纹 - 着色 51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5">
    <w:name w:val="浅色底纹12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
    <w:name w:val="列表型 31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55">
    <w:name w:val="表格主题1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古典型 11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56">
    <w:name w:val="网格型11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浅色底纹 - 着色 41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7">
    <w:name w:val="浅色底纹 - 着色 51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5">
    <w:name w:val="浅色底纹111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5">
    <w:name w:val="中等深浅底纹 1 - 着色 61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5">
    <w:name w:val="浅色列表 - 着色 61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5">
    <w:name w:val="网格表 4 - 着色 112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5">
    <w:name w:val="网格表 5 深色 - 着色 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5">
    <w:name w:val="网格表 5 深色 - 着色 5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5">
    <w:name w:val="网格表 4 - 着色 11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5">
    <w:name w:val="网格表 5 深色 - 着色 1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5">
    <w:name w:val="网格表 5 深色 - 着色 5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5">
    <w:name w:val="网格型3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中等深浅列表 212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
    <w:name w:val="中等深浅底纹 1 - 强调文字颜色 51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0">
    <w:name w:val="浅色底纹 - 强调文字颜色 51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51">
    <w:name w:val="浅色列表 - 强调文字颜色 51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
    <w:name w:val="中等深浅列表 2 - 强调文字颜色 51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
    <w:name w:val="中等深浅网格 3 - 强调文字颜色 51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2">
    <w:name w:val="彩色网格 - 强调文字颜色 51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0">
    <w:name w:val="中等深浅网格 2 - 强调文字颜色 51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
    <w:name w:val="中等深浅底纹 2 - 强调文字颜色 51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5">
    <w:name w:val="中等深浅底纹 1 - 强调文字颜色 52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0">
    <w:name w:val="浅色底纹 - 强调文字颜色 52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51">
    <w:name w:val="浅色列表 - 强调文字颜色 52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
    <w:name w:val="中等深浅列表 2 - 强调文字颜色 52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
    <w:name w:val="中等深浅网格 3 - 强调文字颜色 52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2">
    <w:name w:val="彩色网格 - 强调文字颜色 52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0">
    <w:name w:val="中等深浅网格 2 - 强调文字颜色 52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
    <w:name w:val="中等深浅底纹 2 - 强调文字颜色 52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50">
    <w:name w:val="简明型 12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5">
    <w:name w:val="浅色底纹 - 着色 32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5">
    <w:name w:val="网格型 82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5">
    <w:name w:val="浅色底纹 - 强调文字颜色 112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50">
    <w:name w:val="浅色列表 - 强调文字颜色 112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50">
    <w:name w:val="中等深浅网格 3 - 着色 52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5">
    <w:name w:val="中等深浅网格 3 - 着色 12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55">
    <w:name w:val="浅色网格 - 着色 52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56">
    <w:name w:val="彩色底纹 - 着色 52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5">
    <w:name w:val="浅色底纹13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5">
    <w:name w:val="列表型 32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51">
    <w:name w:val="表格主题2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古典型 12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52">
    <w:name w:val="网格型12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浅色底纹 - 着色 42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7">
    <w:name w:val="浅色底纹 - 着色 52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5">
    <w:name w:val="浅色底纹112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5">
    <w:name w:val="中等深浅底纹 1 - 着色 62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5">
    <w:name w:val="浅色列表 - 着色 62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5">
    <w:name w:val="网格表 4 - 着色 113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5">
    <w:name w:val="网格表 5 深色 - 着色 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5">
    <w:name w:val="网格表 5 深色 - 着色 5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5">
    <w:name w:val="网格表 4 - 着色 1112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5">
    <w:name w:val="网格表 5 深色 - 着色 1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5">
    <w:name w:val="网格表 5 深色 - 着色 5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5">
    <w:name w:val="网格型4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中等深浅列表 213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5">
    <w:name w:val="中等深浅底纹 1 - 强调文字颜色 513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50">
    <w:name w:val="浅色底纹 - 强调文字颜色 513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51">
    <w:name w:val="浅色列表 - 强调文字颜色 513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5">
    <w:name w:val="中等深浅列表 2 - 强调文字颜色 513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5">
    <w:name w:val="中等深浅网格 3 - 强调文字颜色 513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52">
    <w:name w:val="彩色网格 - 强调文字颜色 513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50">
    <w:name w:val="中等深浅网格 2 - 强调文字颜色 513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51">
    <w:name w:val="中等深浅底纹 2 - 强调文字颜色 513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5">
    <w:name w:val="中等深浅底纹 1 - 强调文字颜色 523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50">
    <w:name w:val="浅色底纹 - 强调文字颜色 523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51">
    <w:name w:val="浅色列表 - 强调文字颜色 523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5">
    <w:name w:val="中等深浅列表 2 - 强调文字颜色 523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5">
    <w:name w:val="中等深浅网格 3 - 强调文字颜色 523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52">
    <w:name w:val="彩色网格 - 强调文字颜色 523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50">
    <w:name w:val="中等深浅网格 2 - 强调文字颜色 523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51">
    <w:name w:val="中等深浅底纹 2 - 强调文字颜色 523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50">
    <w:name w:val="简明型 13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5">
    <w:name w:val="浅色底纹 - 着色 33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5">
    <w:name w:val="网格型 83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5">
    <w:name w:val="浅色底纹 - 强调文字颜色 113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50">
    <w:name w:val="浅色列表 - 强调文字颜色 113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5">
    <w:name w:val="中等深浅网格 3 - 着色 53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5">
    <w:name w:val="中等深浅网格 3 - 着色 13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5">
    <w:name w:val="浅色网格 - 着色 53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50">
    <w:name w:val="彩色底纹 - 着色 53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5">
    <w:name w:val="浅色底纹14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5">
    <w:name w:val="列表型 33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56">
    <w:name w:val="表格主题3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古典型 13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52">
    <w:name w:val="网格型13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浅色底纹 - 着色 43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51">
    <w:name w:val="浅色底纹 - 着色 53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50">
    <w:name w:val="浅色底纹113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5">
    <w:name w:val="中等深浅底纹 1 - 着色 63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5">
    <w:name w:val="浅色列表 - 着色 63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5">
    <w:name w:val="网格表 4 - 着色 114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5">
    <w:name w:val="网格表 5 深色 - 着色 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5">
    <w:name w:val="网格表 5 深色 - 着色 5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5">
    <w:name w:val="网格表 4 - 着色 1113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5">
    <w:name w:val="网格表 5 深色 - 着色 1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5">
    <w:name w:val="网格表 5 深色 - 着色 5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5">
    <w:name w:val="网格型5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中等深浅列表 214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5">
    <w:name w:val="中等深浅底纹 1 - 强调文字颜色 514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50">
    <w:name w:val="浅色底纹 - 强调文字颜色 514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51">
    <w:name w:val="浅色列表 - 强调文字颜色 514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5">
    <w:name w:val="中等深浅列表 2 - 强调文字颜色 514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5">
    <w:name w:val="中等深浅网格 3 - 强调文字颜色 514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52">
    <w:name w:val="彩色网格 - 强调文字颜色 514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50">
    <w:name w:val="中等深浅网格 2 - 强调文字颜色 514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51">
    <w:name w:val="中等深浅底纹 2 - 强调文字颜色 514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5">
    <w:name w:val="中等深浅底纹 1 - 强调文字颜色 524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50">
    <w:name w:val="浅色底纹 - 强调文字颜色 524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51">
    <w:name w:val="浅色列表 - 强调文字颜色 524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5">
    <w:name w:val="中等深浅列表 2 - 强调文字颜色 524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5">
    <w:name w:val="中等深浅网格 3 - 强调文字颜色 524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52">
    <w:name w:val="彩色网格 - 强调文字颜色 524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50">
    <w:name w:val="中等深浅网格 2 - 强调文字颜色 524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51">
    <w:name w:val="中等深浅底纹 2 - 强调文字颜色 524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50">
    <w:name w:val="简明型 14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5">
    <w:name w:val="浅色底纹 - 着色 34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5">
    <w:name w:val="网格型 84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5">
    <w:name w:val="浅色底纹 - 强调文字颜色 114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50">
    <w:name w:val="浅色列表 - 强调文字颜色 114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5">
    <w:name w:val="中等深浅网格 3 - 着色 54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5">
    <w:name w:val="中等深浅网格 3 - 着色 14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5">
    <w:name w:val="浅色网格 - 着色 54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50">
    <w:name w:val="彩色底纹 - 着色 54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50">
    <w:name w:val="浅色底纹15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50">
    <w:name w:val="列表型 34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0">
    <w:name w:val="表格主题4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古典型 14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52">
    <w:name w:val="网格型14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浅色底纹 - 着色 44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51">
    <w:name w:val="浅色底纹 - 着色 54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50">
    <w:name w:val="浅色底纹114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5">
    <w:name w:val="中等深浅底纹 1 - 着色 64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5">
    <w:name w:val="浅色列表 - 着色 64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5">
    <w:name w:val="网格表 4 - 着色 115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5">
    <w:name w:val="网格表 5 深色 - 着色 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5">
    <w:name w:val="网格表 5 深色 - 着色 5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5">
    <w:name w:val="网格表 4 - 着色 1114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5">
    <w:name w:val="网格表 5 深色 - 着色 1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5">
    <w:name w:val="网格表 5 深色 - 着色 5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5">
    <w:name w:val="网格型6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中等深浅列表 215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5">
    <w:name w:val="中等深浅底纹 1 - 强调文字颜色 515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50">
    <w:name w:val="浅色底纹 - 强调文字颜色 515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51">
    <w:name w:val="浅色列表 - 强调文字颜色 515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5">
    <w:name w:val="中等深浅列表 2 - 强调文字颜色 515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5">
    <w:name w:val="中等深浅网格 3 - 强调文字颜色 515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52">
    <w:name w:val="彩色网格 - 强调文字颜色 515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50">
    <w:name w:val="中等深浅网格 2 - 强调文字颜色 515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51">
    <w:name w:val="中等深浅底纹 2 - 强调文字颜色 515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5">
    <w:name w:val="中等深浅底纹 1 - 强调文字颜色 525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50">
    <w:name w:val="浅色底纹 - 强调文字颜色 525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51">
    <w:name w:val="浅色列表 - 强调文字颜色 525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5">
    <w:name w:val="中等深浅列表 2 - 强调文字颜色 525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5">
    <w:name w:val="中等深浅网格 3 - 强调文字颜色 525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52">
    <w:name w:val="彩色网格 - 强调文字颜色 525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50">
    <w:name w:val="中等深浅网格 2 - 强调文字颜色 525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51">
    <w:name w:val="中等深浅底纹 2 - 强调文字颜色 525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51">
    <w:name w:val="简明型 15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5">
    <w:name w:val="浅色底纹 - 着色 35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5">
    <w:name w:val="网格型 85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5">
    <w:name w:val="浅色底纹 - 强调文字颜色 115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50">
    <w:name w:val="浅色列表 - 强调文字颜色 115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5">
    <w:name w:val="中等深浅网格 3 - 着色 5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5">
    <w:name w:val="中等深浅网格 3 - 着色 1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5">
    <w:name w:val="浅色网格 - 着色 55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50">
    <w:name w:val="彩色底纹 - 着色 55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5">
    <w:name w:val="浅色底纹16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0">
    <w:name w:val="列表型 35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50">
    <w:name w:val="表格主题5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古典型 15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53">
    <w:name w:val="网格型15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浅色底纹 - 着色 45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51">
    <w:name w:val="浅色底纹 - 着色 55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50">
    <w:name w:val="浅色底纹115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5">
    <w:name w:val="中等深浅底纹 1 - 着色 65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5">
    <w:name w:val="浅色列表 - 着色 65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5">
    <w:name w:val="网格表 4 - 着色 116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5">
    <w:name w:val="网格表 5 深色 - 着色 116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5">
    <w:name w:val="网格表 5 深色 - 着色 516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5">
    <w:name w:val="网格表 4 - 着色 1115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5">
    <w:name w:val="网格表 5 深色 - 着色 1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5">
    <w:name w:val="网格表 5 深色 - 着色 5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71">
    <w:name w:val="网格型7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中等深浅列表 216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1">
    <w:name w:val="中等深浅底纹 1 - 强调文字颜色 516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10">
    <w:name w:val="浅色底纹 - 强调文字颜色 516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11">
    <w:name w:val="浅色列表 - 强调文字颜色 516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10">
    <w:name w:val="中等深浅列表 2 - 强调文字颜色 516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1">
    <w:name w:val="中等深浅网格 3 - 强调文字颜色 516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2">
    <w:name w:val="彩色网格 - 强调文字颜色 516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11">
    <w:name w:val="中等深浅网格 2 - 强调文字颜色 516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2">
    <w:name w:val="中等深浅底纹 2 - 强调文字颜色 516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1">
    <w:name w:val="中等深浅底纹 1 - 强调文字颜色 526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10">
    <w:name w:val="浅色底纹 - 强调文字颜色 526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11">
    <w:name w:val="浅色列表 - 强调文字颜色 526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10">
    <w:name w:val="中等深浅列表 2 - 强调文字颜色 526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1">
    <w:name w:val="中等深浅网格 3 - 强调文字颜色 526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2">
    <w:name w:val="彩色网格 - 强调文字颜色 526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11">
    <w:name w:val="中等深浅网格 2 - 强调文字颜色 526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2">
    <w:name w:val="中等深浅底纹 2 - 强调文字颜色 526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11">
    <w:name w:val="简明型 16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1">
    <w:name w:val="浅色底纹 - 着色 36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1">
    <w:name w:val="网格型 86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1">
    <w:name w:val="浅色底纹 - 强调文字颜色 116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10">
    <w:name w:val="浅色列表 - 强调文字颜色 116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1">
    <w:name w:val="中等深浅网格 3 - 着色 56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61">
    <w:name w:val="中等深浅网格 3 - 着色 16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610">
    <w:name w:val="浅色网格 - 着色 56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611">
    <w:name w:val="彩色底纹 - 着色 56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10">
    <w:name w:val="浅色底纹17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1">
    <w:name w:val="列表型 36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10">
    <w:name w:val="表格主题6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古典型 16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13">
    <w:name w:val="网格型16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浅色底纹 - 着色 46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2">
    <w:name w:val="浅色底纹 - 着色 56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1">
    <w:name w:val="浅色底纹116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1">
    <w:name w:val="中等深浅底纹 1 - 着色 66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1">
    <w:name w:val="浅色列表 - 着色 66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1">
    <w:name w:val="网格表 4 - 着色 117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1">
    <w:name w:val="网格表 5 深色 - 着色 1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1">
    <w:name w:val="网格表 5 深色 - 着色 5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1">
    <w:name w:val="网格表 4 - 着色 1116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1">
    <w:name w:val="网格表 5 深色 - 着色 1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1">
    <w:name w:val="网格表 5 深色 - 着色 5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16">
    <w:name w:val="网格型2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中等深浅列表 211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1">
    <w:name w:val="中等深浅底纹 1 - 强调文字颜色 51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10">
    <w:name w:val="浅色底纹 - 强调文字颜色 51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11">
    <w:name w:val="浅色列表 - 强调文字颜色 51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10">
    <w:name w:val="中等深浅列表 2 - 强调文字颜色 51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1">
    <w:name w:val="中等深浅网格 3 - 强调文字颜色 51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12">
    <w:name w:val="彩色网格 - 强调文字颜色 51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1">
    <w:name w:val="中等深浅网格 2 - 强调文字颜色 51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12">
    <w:name w:val="中等深浅底纹 2 - 强调文字颜色 51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1">
    <w:name w:val="中等深浅底纹 1 - 强调文字颜色 52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10">
    <w:name w:val="浅色底纹 - 强调文字颜色 52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11">
    <w:name w:val="浅色列表 - 强调文字颜色 52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10">
    <w:name w:val="中等深浅列表 2 - 强调文字颜色 52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1">
    <w:name w:val="中等深浅网格 3 - 强调文字颜色 52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12">
    <w:name w:val="彩色网格 - 强调文字颜色 52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1">
    <w:name w:val="中等深浅网格 2 - 强调文字颜色 52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12">
    <w:name w:val="中等深浅底纹 2 - 强调文字颜色 52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11">
    <w:name w:val="简明型 11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1">
    <w:name w:val="浅色底纹 - 着色 31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1">
    <w:name w:val="网格型 81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1">
    <w:name w:val="浅色底纹 - 强调文字颜色 11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10">
    <w:name w:val="浅色列表 - 强调文字颜色 11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10">
    <w:name w:val="中等深浅网格 3 - 着色 5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11">
    <w:name w:val="中等深浅网格 3 - 着色 1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113">
    <w:name w:val="浅色网格 - 着色 51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114">
    <w:name w:val="彩色底纹 - 着色 51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10">
    <w:name w:val="浅色底纹12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列表型 31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6">
    <w:name w:val="表格主题1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古典型 11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13">
    <w:name w:val="网格型11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浅色底纹 - 着色 41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15">
    <w:name w:val="浅色底纹 - 着色 51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10">
    <w:name w:val="浅色底纹11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1">
    <w:name w:val="中等深浅底纹 1 - 着色 61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1">
    <w:name w:val="浅色列表 - 着色 61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1">
    <w:name w:val="网格表 4 - 着色 112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1">
    <w:name w:val="网格表 5 深色 - 着色 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1">
    <w:name w:val="网格表 5 深色 - 着色 5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1">
    <w:name w:val="网格表 4 - 着色 11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1">
    <w:name w:val="网格表 5 深色 - 着色 1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1">
    <w:name w:val="网格表 5 深色 - 着色 5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10">
    <w:name w:val="网格型3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中等深浅列表 212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1">
    <w:name w:val="中等深浅底纹 1 - 强调文字颜色 51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10">
    <w:name w:val="浅色底纹 - 强调文字颜色 51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11">
    <w:name w:val="浅色列表 - 强调文字颜色 51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10">
    <w:name w:val="中等深浅列表 2 - 强调文字颜色 51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1">
    <w:name w:val="中等深浅网格 3 - 强调文字颜色 512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12">
    <w:name w:val="彩色网格 - 强调文字颜色 51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1">
    <w:name w:val="中等深浅网格 2 - 强调文字颜色 51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12">
    <w:name w:val="中等深浅底纹 2 - 强调文字颜色 51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1">
    <w:name w:val="中等深浅底纹 1 - 强调文字颜色 52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10">
    <w:name w:val="浅色底纹 - 强调文字颜色 52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11">
    <w:name w:val="浅色列表 - 强调文字颜色 52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10">
    <w:name w:val="中等深浅列表 2 - 强调文字颜色 52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1">
    <w:name w:val="中等深浅网格 3 - 强调文字颜色 522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12">
    <w:name w:val="彩色网格 - 强调文字颜色 52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1">
    <w:name w:val="中等深浅网格 2 - 强调文字颜色 52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12">
    <w:name w:val="中等深浅底纹 2 - 强调文字颜色 52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11">
    <w:name w:val="简明型 12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1">
    <w:name w:val="浅色底纹 - 着色 32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1">
    <w:name w:val="网格型 82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1">
    <w:name w:val="浅色底纹 - 强调文字颜色 112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10">
    <w:name w:val="浅色列表 - 强调文字颜色 112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10">
    <w:name w:val="中等深浅网格 3 - 着色 52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11">
    <w:name w:val="中等深浅网格 3 - 着色 12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113">
    <w:name w:val="浅色网格 - 着色 52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114">
    <w:name w:val="彩色底纹 - 着色 52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10">
    <w:name w:val="浅色底纹13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1">
    <w:name w:val="列表型 32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17">
    <w:name w:val="表格主题2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古典型 12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13">
    <w:name w:val="网格型12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浅色底纹 - 着色 42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15">
    <w:name w:val="浅色底纹 - 着色 52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1">
    <w:name w:val="浅色底纹112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1">
    <w:name w:val="中等深浅底纹 1 - 着色 62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1">
    <w:name w:val="浅色列表 - 着色 62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1">
    <w:name w:val="网格表 4 - 着色 113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1">
    <w:name w:val="网格表 5 深色 - 着色 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1">
    <w:name w:val="网格表 5 深色 - 着色 5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1">
    <w:name w:val="网格表 4 - 着色 1112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1">
    <w:name w:val="网格表 5 深色 - 着色 1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1">
    <w:name w:val="网格表 5 深色 - 着色 5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0">
    <w:name w:val="网格型4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中等深浅列表 213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1">
    <w:name w:val="中等深浅底纹 1 - 强调文字颜色 513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10">
    <w:name w:val="浅色底纹 - 强调文字颜色 513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11">
    <w:name w:val="浅色列表 - 强调文字颜色 513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10">
    <w:name w:val="中等深浅列表 2 - 强调文字颜色 513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1">
    <w:name w:val="中等深浅网格 3 - 强调文字颜色 513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12">
    <w:name w:val="彩色网格 - 强调文字颜色 513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1">
    <w:name w:val="中等深浅网格 2 - 强调文字颜色 513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12">
    <w:name w:val="中等深浅底纹 2 - 强调文字颜色 513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1">
    <w:name w:val="中等深浅底纹 1 - 强调文字颜色 523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10">
    <w:name w:val="浅色底纹 - 强调文字颜色 523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11">
    <w:name w:val="浅色列表 - 强调文字颜色 523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10">
    <w:name w:val="中等深浅列表 2 - 强调文字颜色 523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1">
    <w:name w:val="中等深浅网格 3 - 强调文字颜色 523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12">
    <w:name w:val="彩色网格 - 强调文字颜色 523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1">
    <w:name w:val="中等深浅网格 2 - 强调文字颜色 523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12">
    <w:name w:val="中等深浅底纹 2 - 强调文字颜色 523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11">
    <w:name w:val="简明型 13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1">
    <w:name w:val="浅色底纹 - 着色 33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1">
    <w:name w:val="网格型 83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1">
    <w:name w:val="浅色底纹 - 强调文字颜色 113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10">
    <w:name w:val="浅色列表 - 强调文字颜色 113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1">
    <w:name w:val="中等深浅网格 3 - 着色 53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11">
    <w:name w:val="中等深浅网格 3 - 着色 13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110">
    <w:name w:val="浅色网格 - 着色 53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111">
    <w:name w:val="彩色底纹 - 着色 53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10">
    <w:name w:val="浅色底纹14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1">
    <w:name w:val="列表型 33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12">
    <w:name w:val="表格主题3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古典型 13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13">
    <w:name w:val="网格型13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浅色底纹 - 着色 43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12">
    <w:name w:val="浅色底纹 - 着色 53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1">
    <w:name w:val="浅色底纹113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1">
    <w:name w:val="中等深浅底纹 1 - 着色 63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1">
    <w:name w:val="浅色列表 - 着色 63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1">
    <w:name w:val="网格表 4 - 着色 114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1">
    <w:name w:val="网格表 5 深色 - 着色 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1">
    <w:name w:val="网格表 5 深色 - 着色 5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1">
    <w:name w:val="网格表 4 - 着色 1113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1">
    <w:name w:val="网格表 5 深色 - 着色 1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1">
    <w:name w:val="网格表 5 深色 - 着色 5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10">
    <w:name w:val="网格型5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中等深浅列表 214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1">
    <w:name w:val="中等深浅底纹 1 - 强调文字颜色 514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10">
    <w:name w:val="浅色底纹 - 强调文字颜色 514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11">
    <w:name w:val="浅色列表 - 强调文字颜色 514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10">
    <w:name w:val="中等深浅列表 2 - 强调文字颜色 514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1">
    <w:name w:val="中等深浅网格 3 - 强调文字颜色 514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12">
    <w:name w:val="彩色网格 - 强调文字颜色 514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1">
    <w:name w:val="中等深浅网格 2 - 强调文字颜色 514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12">
    <w:name w:val="中等深浅底纹 2 - 强调文字颜色 514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1">
    <w:name w:val="中等深浅底纹 1 - 强调文字颜色 524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10">
    <w:name w:val="浅色底纹 - 强调文字颜色 524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11">
    <w:name w:val="浅色列表 - 强调文字颜色 524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10">
    <w:name w:val="中等深浅列表 2 - 强调文字颜色 524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1">
    <w:name w:val="中等深浅网格 3 - 强调文字颜色 524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12">
    <w:name w:val="彩色网格 - 强调文字颜色 524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1">
    <w:name w:val="中等深浅网格 2 - 强调文字颜色 524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12">
    <w:name w:val="中等深浅底纹 2 - 强调文字颜色 524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11">
    <w:name w:val="简明型 14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1">
    <w:name w:val="浅色底纹 - 着色 34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1">
    <w:name w:val="网格型 84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1">
    <w:name w:val="浅色底纹 - 强调文字颜色 114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10">
    <w:name w:val="浅色列表 - 强调文字颜色 114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1">
    <w:name w:val="中等深浅网格 3 - 着色 54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11">
    <w:name w:val="中等深浅网格 3 - 着色 14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110">
    <w:name w:val="浅色网格 - 着色 54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111">
    <w:name w:val="彩色底纹 - 着色 54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10">
    <w:name w:val="浅色底纹15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1">
    <w:name w:val="列表型 34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1">
    <w:name w:val="表格主题4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古典型 14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13">
    <w:name w:val="网格型14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浅色底纹 - 着色 44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12">
    <w:name w:val="浅色底纹 - 着色 54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1">
    <w:name w:val="浅色底纹114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1">
    <w:name w:val="中等深浅底纹 1 - 着色 64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1">
    <w:name w:val="浅色列表 - 着色 64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1">
    <w:name w:val="网格表 4 - 着色 115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1">
    <w:name w:val="网格表 5 深色 - 着色 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1">
    <w:name w:val="网格表 5 深色 - 着色 5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1">
    <w:name w:val="网格表 4 - 着色 1114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1">
    <w:name w:val="网格表 5 深色 - 着色 1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1">
    <w:name w:val="网格表 5 深色 - 着色 5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1">
    <w:name w:val="网格型6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中等深浅列表 215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1">
    <w:name w:val="中等深浅底纹 1 - 强调文字颜色 51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10">
    <w:name w:val="浅色底纹 - 强调文字颜色 51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11">
    <w:name w:val="浅色列表 - 强调文字颜色 51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10">
    <w:name w:val="中等深浅列表 2 - 强调文字颜色 51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1">
    <w:name w:val="中等深浅网格 3 - 强调文字颜色 51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12">
    <w:name w:val="彩色网格 - 强调文字颜色 51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1">
    <w:name w:val="中等深浅网格 2 - 强调文字颜色 51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12">
    <w:name w:val="中等深浅底纹 2 - 强调文字颜色 51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1">
    <w:name w:val="中等深浅底纹 1 - 强调文字颜色 52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10">
    <w:name w:val="浅色底纹 - 强调文字颜色 52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11">
    <w:name w:val="浅色列表 - 强调文字颜色 52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10">
    <w:name w:val="中等深浅列表 2 - 强调文字颜色 52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1">
    <w:name w:val="中等深浅网格 3 - 强调文字颜色 52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12">
    <w:name w:val="彩色网格 - 强调文字颜色 52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1">
    <w:name w:val="中等深浅网格 2 - 强调文字颜色 52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12">
    <w:name w:val="中等深浅底纹 2 - 强调文字颜色 52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11">
    <w:name w:val="简明型 15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1">
    <w:name w:val="浅色底纹 - 着色 35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1">
    <w:name w:val="网格型 85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1">
    <w:name w:val="浅色底纹 - 强调文字颜色 115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10">
    <w:name w:val="浅色列表 - 强调文字颜色 115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1">
    <w:name w:val="中等深浅网格 3 - 着色 5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11">
    <w:name w:val="中等深浅网格 3 - 着色 1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110">
    <w:name w:val="浅色网格 - 着色 55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111">
    <w:name w:val="彩色底纹 - 着色 55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10">
    <w:name w:val="浅色底纹16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1">
    <w:name w:val="列表型 35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1">
    <w:name w:val="表格主题5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古典型 15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13">
    <w:name w:val="网格型15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浅色底纹 - 着色 45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12">
    <w:name w:val="浅色底纹 - 着色 55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1">
    <w:name w:val="浅色底纹115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1">
    <w:name w:val="中等深浅底纹 1 - 着色 65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1">
    <w:name w:val="浅色列表 - 着色 65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1">
    <w:name w:val="网格表 4 - 着色 116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1">
    <w:name w:val="网格表 5 深色 - 着色 116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1">
    <w:name w:val="网格表 5 深色 - 着色 516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1">
    <w:name w:val="网格表 4 - 着色 1115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1">
    <w:name w:val="网格表 5 深色 - 着色 1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1">
    <w:name w:val="网格表 5 深色 - 着色 5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16">
    <w:name w:val="网格型8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中等深浅列表 217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1">
    <w:name w:val="中等深浅底纹 1 - 强调文字颜色 517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10">
    <w:name w:val="浅色底纹 - 强调文字颜色 517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11">
    <w:name w:val="浅色列表 - 强调文字颜色 517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10">
    <w:name w:val="中等深浅列表 2 - 强调文字颜色 517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1">
    <w:name w:val="中等深浅网格 3 - 强调文字颜色 517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2">
    <w:name w:val="彩色网格 - 强调文字颜色 517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11">
    <w:name w:val="中等深浅网格 2 - 强调文字颜色 517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2">
    <w:name w:val="中等深浅底纹 2 - 强调文字颜色 517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1">
    <w:name w:val="中等深浅底纹 1 - 强调文字颜色 527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10">
    <w:name w:val="浅色底纹 - 强调文字颜色 527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11">
    <w:name w:val="浅色列表 - 强调文字颜色 527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10">
    <w:name w:val="中等深浅列表 2 - 强调文字颜色 527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1">
    <w:name w:val="中等深浅网格 3 - 强调文字颜色 527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2">
    <w:name w:val="彩色网格 - 强调文字颜色 527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11">
    <w:name w:val="中等深浅网格 2 - 强调文字颜色 527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2">
    <w:name w:val="中等深浅底纹 2 - 强调文字颜色 527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11">
    <w:name w:val="简明型 17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1">
    <w:name w:val="浅色底纹 - 着色 37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1">
    <w:name w:val="网格型 87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1">
    <w:name w:val="浅色底纹 - 强调文字颜色 117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10">
    <w:name w:val="浅色列表 - 强调文字颜色 117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1">
    <w:name w:val="中等深浅网格 3 - 着色 57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71">
    <w:name w:val="中等深浅网格 3 - 着色 17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710">
    <w:name w:val="浅色网格 - 着色 57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711">
    <w:name w:val="彩色底纹 - 着色 57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10">
    <w:name w:val="浅色底纹18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列表型 37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10">
    <w:name w:val="表格主题7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古典型 17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13">
    <w:name w:val="网格型17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浅色底纹 - 着色 47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2">
    <w:name w:val="浅色底纹 - 着色 57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1">
    <w:name w:val="浅色底纹117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1">
    <w:name w:val="中等深浅底纹 1 - 着色 67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1">
    <w:name w:val="浅色列表 - 着色 67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1">
    <w:name w:val="网格表 4 - 着色 118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1">
    <w:name w:val="网格表 5 深色 - 着色 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1">
    <w:name w:val="网格表 5 深色 - 着色 5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1">
    <w:name w:val="网格表 4 - 着色 1117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1">
    <w:name w:val="网格表 5 深色 - 着色 11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1">
    <w:name w:val="网格表 5 深色 - 着色 51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10">
    <w:name w:val="网格型2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中等深浅列表 211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1">
    <w:name w:val="中等深浅底纹 1 - 强调文字颜色 51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10">
    <w:name w:val="浅色底纹 - 强调文字颜色 511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11">
    <w:name w:val="浅色列表 - 强调文字颜色 511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10">
    <w:name w:val="中等深浅列表 2 - 强调文字颜色 511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1">
    <w:name w:val="中等深浅网格 3 - 强调文字颜色 511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12">
    <w:name w:val="彩色网格 - 强调文字颜色 51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1">
    <w:name w:val="中等深浅网格 2 - 强调文字颜色 511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12">
    <w:name w:val="中等深浅底纹 2 - 强调文字颜色 51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1">
    <w:name w:val="中等深浅底纹 1 - 强调文字颜色 52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10">
    <w:name w:val="浅色底纹 - 强调文字颜色 521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11">
    <w:name w:val="浅色列表 - 强调文字颜色 521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10">
    <w:name w:val="中等深浅列表 2 - 强调文字颜色 521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1">
    <w:name w:val="中等深浅网格 3 - 强调文字颜色 521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12">
    <w:name w:val="彩色网格 - 强调文字颜色 52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1">
    <w:name w:val="中等深浅网格 2 - 强调文字颜色 521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12">
    <w:name w:val="中等深浅底纹 2 - 强调文字颜色 52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10">
    <w:name w:val="简明型 11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1">
    <w:name w:val="浅色底纹 - 着色 31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1">
    <w:name w:val="网格型 81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1">
    <w:name w:val="浅色底纹 - 强调文字颜色 111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10">
    <w:name w:val="浅色列表 - 强调文字颜色 111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10">
    <w:name w:val="中等深浅网格 3 - 着色 51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21">
    <w:name w:val="中等深浅网格 3 - 着色 11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213">
    <w:name w:val="浅色网格 - 着色 51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214">
    <w:name w:val="彩色底纹 - 着色 51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10">
    <w:name w:val="浅色底纹12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列表型 31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4">
    <w:name w:val="表格主题1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古典型 11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3">
    <w:name w:val="网格型11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浅色底纹 - 着色 41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15">
    <w:name w:val="浅色底纹 - 着色 51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1">
    <w:name w:val="浅色底纹111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1">
    <w:name w:val="中等深浅底纹 1 - 着色 61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1">
    <w:name w:val="浅色列表 - 着色 61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1">
    <w:name w:val="网格表 4 - 着色 112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1">
    <w:name w:val="网格表 5 深色 - 着色 112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1">
    <w:name w:val="网格表 5 深色 - 着色 512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1">
    <w:name w:val="网格表 4 - 着色 11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1">
    <w:name w:val="网格表 5 深色 - 着色 11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1">
    <w:name w:val="网格表 5 深色 - 着色 51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10">
    <w:name w:val="网格型3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中等深浅列表 212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1">
    <w:name w:val="中等深浅底纹 1 - 强调文字颜色 512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10">
    <w:name w:val="浅色底纹 - 强调文字颜色 512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11">
    <w:name w:val="浅色列表 - 强调文字颜色 512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10">
    <w:name w:val="中等深浅列表 2 - 强调文字颜色 512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1">
    <w:name w:val="中等深浅网格 3 - 强调文字颜色 51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12">
    <w:name w:val="彩色网格 - 强调文字颜色 512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11">
    <w:name w:val="中等深浅网格 2 - 强调文字颜色 512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2">
    <w:name w:val="中等深浅底纹 2 - 强调文字颜色 512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1">
    <w:name w:val="中等深浅底纹 1 - 强调文字颜色 522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10">
    <w:name w:val="浅色底纹 - 强调文字颜色 522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11">
    <w:name w:val="浅色列表 - 强调文字颜色 522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10">
    <w:name w:val="中等深浅列表 2 - 强调文字颜色 522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1">
    <w:name w:val="中等深浅网格 3 - 强调文字颜色 52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2">
    <w:name w:val="彩色网格 - 强调文字颜色 522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11">
    <w:name w:val="中等深浅网格 2 - 强调文字颜色 522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2">
    <w:name w:val="中等深浅底纹 2 - 强调文字颜色 522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11">
    <w:name w:val="简明型 12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1">
    <w:name w:val="浅色底纹 - 着色 32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1">
    <w:name w:val="网格型 82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1">
    <w:name w:val="浅色底纹 - 强调文字颜色 112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10">
    <w:name w:val="浅色列表 - 强调文字颜色 112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10">
    <w:name w:val="中等深浅网格 3 - 着色 52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21">
    <w:name w:val="中等深浅网格 3 - 着色 12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213">
    <w:name w:val="浅色网格 - 着色 52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214">
    <w:name w:val="彩色底纹 - 着色 52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10">
    <w:name w:val="浅色底纹13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1">
    <w:name w:val="列表型 32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11">
    <w:name w:val="表格主题2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古典型 12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13">
    <w:name w:val="网格型12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浅色底纹 - 着色 42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15">
    <w:name w:val="浅色底纹 - 着色 52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1">
    <w:name w:val="浅色底纹112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1">
    <w:name w:val="中等深浅底纹 1 - 着色 62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1">
    <w:name w:val="浅色列表 - 着色 62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1">
    <w:name w:val="网格表 4 - 着色 113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1">
    <w:name w:val="网格表 5 深色 - 着色 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1">
    <w:name w:val="网格表 5 深色 - 着色 5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1">
    <w:name w:val="网格表 4 - 着色 1112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1">
    <w:name w:val="网格表 5 深色 - 着色 1112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1">
    <w:name w:val="网格表 5 深色 - 着色 5112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10">
    <w:name w:val="网格型4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中等深浅列表 213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1">
    <w:name w:val="中等深浅底纹 1 - 强调文字颜色 513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10">
    <w:name w:val="浅色底纹 - 强调文字颜色 513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11">
    <w:name w:val="浅色列表 - 强调文字颜色 513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10">
    <w:name w:val="中等深浅列表 2 - 强调文字颜色 513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1">
    <w:name w:val="中等深浅网格 3 - 强调文字颜色 513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12">
    <w:name w:val="彩色网格 - 强调文字颜色 513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11">
    <w:name w:val="中等深浅网格 2 - 强调文字颜色 513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2">
    <w:name w:val="中等深浅底纹 2 - 强调文字颜色 513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1">
    <w:name w:val="中等深浅底纹 1 - 强调文字颜色 523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10">
    <w:name w:val="浅色底纹 - 强调文字颜色 523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11">
    <w:name w:val="浅色列表 - 强调文字颜色 523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10">
    <w:name w:val="中等深浅列表 2 - 强调文字颜色 523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1">
    <w:name w:val="中等深浅网格 3 - 强调文字颜色 523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12">
    <w:name w:val="彩色网格 - 强调文字颜色 523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11">
    <w:name w:val="中等深浅网格 2 - 强调文字颜色 523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2">
    <w:name w:val="中等深浅底纹 2 - 强调文字颜色 523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11">
    <w:name w:val="简明型 13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1">
    <w:name w:val="浅色底纹 - 着色 33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1">
    <w:name w:val="网格型 83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1">
    <w:name w:val="浅色底纹 - 强调文字颜色 113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10">
    <w:name w:val="浅色列表 - 强调文字颜色 113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1">
    <w:name w:val="中等深浅网格 3 - 着色 53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21">
    <w:name w:val="中等深浅网格 3 - 着色 13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210">
    <w:name w:val="浅色网格 - 着色 53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211">
    <w:name w:val="彩色底纹 - 着色 53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10">
    <w:name w:val="浅色底纹14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1">
    <w:name w:val="列表型 33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12">
    <w:name w:val="表格主题3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古典型 13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13">
    <w:name w:val="网格型13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浅色底纹 - 着色 43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2">
    <w:name w:val="浅色底纹 - 着色 53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1">
    <w:name w:val="浅色底纹113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1">
    <w:name w:val="中等深浅底纹 1 - 着色 63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1">
    <w:name w:val="浅色列表 - 着色 63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1">
    <w:name w:val="网格表 4 - 着色 114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1">
    <w:name w:val="网格表 5 深色 - 着色 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1">
    <w:name w:val="网格表 5 深色 - 着色 5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1">
    <w:name w:val="网格表 4 - 着色 1113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1">
    <w:name w:val="网格表 5 深色 - 着色 1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1">
    <w:name w:val="网格表 5 深色 - 着色 5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10">
    <w:name w:val="网格型5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中等深浅列表 214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1">
    <w:name w:val="中等深浅底纹 1 - 强调文字颜色 514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10">
    <w:name w:val="浅色底纹 - 强调文字颜色 514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11">
    <w:name w:val="浅色列表 - 强调文字颜色 514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10">
    <w:name w:val="中等深浅列表 2 - 强调文字颜色 514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1">
    <w:name w:val="中等深浅网格 3 - 强调文字颜色 514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12">
    <w:name w:val="彩色网格 - 强调文字颜色 514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11">
    <w:name w:val="中等深浅网格 2 - 强调文字颜色 514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2">
    <w:name w:val="中等深浅底纹 2 - 强调文字颜色 514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1">
    <w:name w:val="中等深浅底纹 1 - 强调文字颜色 524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10">
    <w:name w:val="浅色底纹 - 强调文字颜色 524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11">
    <w:name w:val="浅色列表 - 强调文字颜色 524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10">
    <w:name w:val="中等深浅列表 2 - 强调文字颜色 524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1">
    <w:name w:val="中等深浅网格 3 - 强调文字颜色 524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12">
    <w:name w:val="彩色网格 - 强调文字颜色 524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11">
    <w:name w:val="中等深浅网格 2 - 强调文字颜色 524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2">
    <w:name w:val="中等深浅底纹 2 - 强调文字颜色 524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11">
    <w:name w:val="简明型 14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1">
    <w:name w:val="浅色底纹 - 着色 34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1">
    <w:name w:val="网格型 84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1">
    <w:name w:val="浅色底纹 - 强调文字颜色 114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10">
    <w:name w:val="浅色列表 - 强调文字颜色 114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1">
    <w:name w:val="中等深浅网格 3 - 着色 54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21">
    <w:name w:val="中等深浅网格 3 - 着色 14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210">
    <w:name w:val="浅色网格 - 着色 54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211">
    <w:name w:val="彩色底纹 - 着色 54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10">
    <w:name w:val="浅色底纹15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1">
    <w:name w:val="列表型 34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1">
    <w:name w:val="表格主题4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古典型 14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13">
    <w:name w:val="网格型14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浅色底纹 - 着色 44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2">
    <w:name w:val="浅色底纹 - 着色 54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1">
    <w:name w:val="浅色底纹114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1">
    <w:name w:val="中等深浅底纹 1 - 着色 64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1">
    <w:name w:val="浅色列表 - 着色 64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1">
    <w:name w:val="网格表 4 - 着色 115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1">
    <w:name w:val="网格表 5 深色 - 着色 1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1">
    <w:name w:val="网格表 5 深色 - 着色 5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1">
    <w:name w:val="网格表 4 - 着色 1114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1">
    <w:name w:val="网格表 5 深色 - 着色 1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1">
    <w:name w:val="网格表 5 深色 - 着色 5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1">
    <w:name w:val="网格型6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中等深浅列表 215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1">
    <w:name w:val="中等深浅底纹 1 - 强调文字颜色 515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10">
    <w:name w:val="浅色底纹 - 强调文字颜色 51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11">
    <w:name w:val="浅色列表 - 强调文字颜色 515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10">
    <w:name w:val="中等深浅列表 2 - 强调文字颜色 515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1">
    <w:name w:val="中等深浅网格 3 - 强调文字颜色 51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2">
    <w:name w:val="彩色网格 - 强调文字颜色 515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11">
    <w:name w:val="中等深浅网格 2 - 强调文字颜色 515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2">
    <w:name w:val="中等深浅底纹 2 - 强调文字颜色 515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1">
    <w:name w:val="中等深浅底纹 1 - 强调文字颜色 525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10">
    <w:name w:val="浅色底纹 - 强调文字颜色 52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11">
    <w:name w:val="浅色列表 - 强调文字颜色 525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10">
    <w:name w:val="中等深浅列表 2 - 强调文字颜色 525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1">
    <w:name w:val="中等深浅网格 3 - 强调文字颜色 52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12">
    <w:name w:val="彩色网格 - 强调文字颜色 525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11">
    <w:name w:val="中等深浅网格 2 - 强调文字颜色 525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2">
    <w:name w:val="中等深浅底纹 2 - 强调文字颜色 525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简明型 15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1">
    <w:name w:val="浅色底纹 - 着色 35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1">
    <w:name w:val="网格型 85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1">
    <w:name w:val="浅色底纹 - 强调文字颜色 115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10">
    <w:name w:val="浅色列表 - 强调文字颜色 115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1">
    <w:name w:val="中等深浅网格 3 - 着色 55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21">
    <w:name w:val="中等深浅网格 3 - 着色 15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210">
    <w:name w:val="浅色网格 - 着色 55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211">
    <w:name w:val="彩色底纹 - 着色 55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1">
    <w:name w:val="浅色底纹16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1">
    <w:name w:val="列表型 35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11">
    <w:name w:val="表格主题5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古典型 15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13">
    <w:name w:val="网格型15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浅色底纹 - 着色 45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2">
    <w:name w:val="浅色底纹 - 着色 55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1">
    <w:name w:val="浅色底纹115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1">
    <w:name w:val="中等深浅底纹 1 - 着色 65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1">
    <w:name w:val="浅色列表 - 着色 65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1">
    <w:name w:val="网格表 4 - 着色 116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1">
    <w:name w:val="网格表 5 深色 - 着色 116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1">
    <w:name w:val="网格表 5 深色 - 着色 516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1">
    <w:name w:val="网格表 4 - 着色 1115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1">
    <w:name w:val="网格表 5 深色 - 着色 11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1">
    <w:name w:val="网格表 5 深色 - 着色 51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1">
    <w:name w:val="网格型9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中等深浅列表 218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1">
    <w:name w:val="中等深浅底纹 1 - 强调文字颜色 518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10">
    <w:name w:val="浅色底纹 - 强调文字颜色 518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11">
    <w:name w:val="浅色列表 - 强调文字颜色 518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10">
    <w:name w:val="中等深浅列表 2 - 强调文字颜色 518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1">
    <w:name w:val="中等深浅网格 3 - 强调文字颜色 518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2">
    <w:name w:val="彩色网格 - 强调文字颜色 518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11">
    <w:name w:val="中等深浅网格 2 - 强调文字颜色 518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2">
    <w:name w:val="中等深浅底纹 2 - 强调文字颜色 518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1">
    <w:name w:val="中等深浅底纹 1 - 强调文字颜色 528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10">
    <w:name w:val="浅色底纹 - 强调文字颜色 528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11">
    <w:name w:val="浅色列表 - 强调文字颜色 528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10">
    <w:name w:val="中等深浅列表 2 - 强调文字颜色 528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1">
    <w:name w:val="中等深浅网格 3 - 强调文字颜色 528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2">
    <w:name w:val="彩色网格 - 强调文字颜色 528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11">
    <w:name w:val="中等深浅网格 2 - 强调文字颜色 528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2">
    <w:name w:val="中等深浅底纹 2 - 强调文字颜色 528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11">
    <w:name w:val="简明型 18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1">
    <w:name w:val="浅色底纹 - 着色 38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1">
    <w:name w:val="网格型 88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1">
    <w:name w:val="浅色底纹 - 强调文字颜色 118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10">
    <w:name w:val="浅色列表 - 强调文字颜色 118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1">
    <w:name w:val="中等深浅网格 3 - 着色 58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81">
    <w:name w:val="中等深浅网格 3 - 着色 18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810">
    <w:name w:val="浅色网格 - 着色 58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811">
    <w:name w:val="彩色底纹 - 着色 58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10">
    <w:name w:val="浅色底纹19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
    <w:name w:val="列表型 38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17">
    <w:name w:val="表格主题8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古典型 18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13">
    <w:name w:val="网格型18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浅色底纹 - 着色 48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2">
    <w:name w:val="浅色底纹 - 着色 58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1">
    <w:name w:val="浅色底纹118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1">
    <w:name w:val="中等深浅底纹 1 - 着色 68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1">
    <w:name w:val="浅色列表 - 着色 68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1">
    <w:name w:val="网格表 4 - 着色 119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1">
    <w:name w:val="网格表 5 深色 - 着色 119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1">
    <w:name w:val="网格表 5 深色 - 着色 519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1">
    <w:name w:val="网格表 4 - 着色 1118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1">
    <w:name w:val="网格表 5 深色 - 着色 1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1">
    <w:name w:val="网格表 5 深色 - 着色 5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10">
    <w:name w:val="网格型2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中等深浅列表 211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1">
    <w:name w:val="中等深浅底纹 1 - 强调文字颜色 51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10">
    <w:name w:val="浅色底纹 - 强调文字颜色 511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11">
    <w:name w:val="浅色列表 - 强调文字颜色 51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10">
    <w:name w:val="中等深浅列表 2 - 强调文字颜色 51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1">
    <w:name w:val="中等深浅网格 3 - 强调文字颜色 51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12">
    <w:name w:val="彩色网格 - 强调文字颜色 51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11">
    <w:name w:val="中等深浅网格 2 - 强调文字颜色 51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2">
    <w:name w:val="中等深浅底纹 2 - 强调文字颜色 51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1">
    <w:name w:val="中等深浅底纹 1 - 强调文字颜色 52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10">
    <w:name w:val="浅色底纹 - 强调文字颜色 521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11">
    <w:name w:val="浅色列表 - 强调文字颜色 52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10">
    <w:name w:val="中等深浅列表 2 - 强调文字颜色 52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1">
    <w:name w:val="中等深浅网格 3 - 强调文字颜色 52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12">
    <w:name w:val="彩色网格 - 强调文字颜色 52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11">
    <w:name w:val="中等深浅网格 2 - 强调文字颜色 52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2">
    <w:name w:val="中等深浅底纹 2 - 强调文字颜色 52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10">
    <w:name w:val="简明型 11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1">
    <w:name w:val="浅色底纹 - 着色 31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1">
    <w:name w:val="网格型 81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1">
    <w:name w:val="浅色底纹 - 强调文字颜色 111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10">
    <w:name w:val="浅色列表 - 强调文字颜色 111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10">
    <w:name w:val="中等深浅网格 3 - 着色 5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31">
    <w:name w:val="中等深浅网格 3 - 着色 1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13">
    <w:name w:val="浅色网格 - 着色 51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314">
    <w:name w:val="彩色底纹 - 着色 51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10">
    <w:name w:val="浅色底纹12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列表型 31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4">
    <w:name w:val="表格主题1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古典型 11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13">
    <w:name w:val="网格型11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浅色底纹 - 着色 41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15">
    <w:name w:val="浅色底纹 - 着色 51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1">
    <w:name w:val="浅色底纹111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1">
    <w:name w:val="中等深浅底纹 1 - 着色 61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1">
    <w:name w:val="浅色列表 - 着色 61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1">
    <w:name w:val="网格表 4 - 着色 112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1">
    <w:name w:val="网格表 5 深色 - 着色 1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1">
    <w:name w:val="网格表 5 深色 - 着色 5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1">
    <w:name w:val="网格表 4 - 着色 11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1">
    <w:name w:val="网格表 5 深色 - 着色 11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1">
    <w:name w:val="网格表 5 深色 - 着色 51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10">
    <w:name w:val="网格型3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中等深浅列表 212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1">
    <w:name w:val="中等深浅底纹 1 - 强调文字颜色 51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10">
    <w:name w:val="浅色底纹 - 强调文字颜色 512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11">
    <w:name w:val="浅色列表 - 强调文字颜色 51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10">
    <w:name w:val="中等深浅列表 2 - 强调文字颜色 51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1">
    <w:name w:val="中等深浅网格 3 - 强调文字颜色 51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12">
    <w:name w:val="彩色网格 - 强调文字颜色 51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11">
    <w:name w:val="中等深浅网格 2 - 强调文字颜色 51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2">
    <w:name w:val="中等深浅底纹 2 - 强调文字颜色 512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1">
    <w:name w:val="中等深浅底纹 1 - 强调文字颜色 52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10">
    <w:name w:val="浅色底纹 - 强调文字颜色 522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11">
    <w:name w:val="浅色列表 - 强调文字颜色 52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10">
    <w:name w:val="中等深浅列表 2 - 强调文字颜色 52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1">
    <w:name w:val="中等深浅网格 3 - 强调文字颜色 52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12">
    <w:name w:val="彩色网格 - 强调文字颜色 52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11">
    <w:name w:val="中等深浅网格 2 - 强调文字颜色 52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2">
    <w:name w:val="中等深浅底纹 2 - 强调文字颜色 522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11">
    <w:name w:val="简明型 12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1">
    <w:name w:val="浅色底纹 - 着色 32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1">
    <w:name w:val="网格型 82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1">
    <w:name w:val="浅色底纹 - 强调文字颜色 112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10">
    <w:name w:val="浅色列表 - 强调文字颜色 112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10">
    <w:name w:val="中等深浅网格 3 - 着色 52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31">
    <w:name w:val="中等深浅网格 3 - 着色 12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13">
    <w:name w:val="浅色网格 - 着色 52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314">
    <w:name w:val="彩色底纹 - 着色 52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10">
    <w:name w:val="浅色底纹13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1">
    <w:name w:val="列表型 32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11">
    <w:name w:val="表格主题2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古典型 12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13">
    <w:name w:val="网格型12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浅色底纹 - 着色 42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15">
    <w:name w:val="浅色底纹 - 着色 52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1">
    <w:name w:val="浅色底纹112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1">
    <w:name w:val="中等深浅底纹 1 - 着色 62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1">
    <w:name w:val="浅色列表 - 着色 62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1">
    <w:name w:val="网格表 4 - 着色 113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1">
    <w:name w:val="网格表 5 深色 - 着色 1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1">
    <w:name w:val="网格表 5 深色 - 着色 5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1">
    <w:name w:val="网格表 4 - 着色 1112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1">
    <w:name w:val="网格表 5 深色 - 着色 11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1">
    <w:name w:val="网格表 5 深色 - 着色 51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10">
    <w:name w:val="网格型4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中等深浅列表 213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1">
    <w:name w:val="中等深浅底纹 1 - 强调文字颜色 513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10">
    <w:name w:val="浅色底纹 - 强调文字颜色 513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11">
    <w:name w:val="浅色列表 - 强调文字颜色 513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10">
    <w:name w:val="中等深浅列表 2 - 强调文字颜色 513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1">
    <w:name w:val="中等深浅网格 3 - 强调文字颜色 513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12">
    <w:name w:val="彩色网格 - 强调文字颜色 513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11">
    <w:name w:val="中等深浅网格 2 - 强调文字颜色 513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2">
    <w:name w:val="中等深浅底纹 2 - 强调文字颜色 513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1">
    <w:name w:val="中等深浅底纹 1 - 强调文字颜色 523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10">
    <w:name w:val="浅色底纹 - 强调文字颜色 523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11">
    <w:name w:val="浅色列表 - 强调文字颜色 523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10">
    <w:name w:val="中等深浅列表 2 - 强调文字颜色 523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1">
    <w:name w:val="中等深浅网格 3 - 强调文字颜色 523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12">
    <w:name w:val="彩色网格 - 强调文字颜色 523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11">
    <w:name w:val="中等深浅网格 2 - 强调文字颜色 523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2">
    <w:name w:val="中等深浅底纹 2 - 强调文字颜色 523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11">
    <w:name w:val="简明型 13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1">
    <w:name w:val="浅色底纹 - 着色 33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1">
    <w:name w:val="网格型 83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1">
    <w:name w:val="浅色底纹 - 强调文字颜色 113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10">
    <w:name w:val="浅色列表 - 强调文字颜色 113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1">
    <w:name w:val="中等深浅网格 3 - 着色 53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31">
    <w:name w:val="中等深浅网格 3 - 着色 13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310">
    <w:name w:val="浅色网格 - 着色 53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311">
    <w:name w:val="彩色底纹 - 着色 53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10">
    <w:name w:val="浅色底纹14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1">
    <w:name w:val="列表型 33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12">
    <w:name w:val="表格主题3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古典型 13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13">
    <w:name w:val="网格型13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浅色底纹 - 着色 43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2">
    <w:name w:val="浅色底纹 - 着色 53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1">
    <w:name w:val="浅色底纹113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1">
    <w:name w:val="中等深浅底纹 1 - 着色 63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1">
    <w:name w:val="浅色列表 - 着色 63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1">
    <w:name w:val="网格表 4 - 着色 114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1">
    <w:name w:val="网格表 5 深色 - 着色 114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1">
    <w:name w:val="网格表 5 深色 - 着色 514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1">
    <w:name w:val="网格表 4 - 着色 1113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1">
    <w:name w:val="网格表 5 深色 - 着色 11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1">
    <w:name w:val="网格表 5 深色 - 着色 51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1">
    <w:name w:val="网格型5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1">
    <w:name w:val="中等深浅列表 214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1">
    <w:name w:val="中等深浅底纹 1 - 强调文字颜色 514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10">
    <w:name w:val="浅色底纹 - 强调文字颜色 514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11">
    <w:name w:val="浅色列表 - 强调文字颜色 514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10">
    <w:name w:val="中等深浅列表 2 - 强调文字颜色 514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1">
    <w:name w:val="中等深浅网格 3 - 强调文字颜色 514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2">
    <w:name w:val="彩色网格 - 强调文字颜色 514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11">
    <w:name w:val="中等深浅网格 2 - 强调文字颜色 514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2">
    <w:name w:val="中等深浅底纹 2 - 强调文字颜色 514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1">
    <w:name w:val="中等深浅底纹 1 - 强调文字颜色 524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10">
    <w:name w:val="浅色底纹 - 强调文字颜色 524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11">
    <w:name w:val="浅色列表 - 强调文字颜色 524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10">
    <w:name w:val="中等深浅列表 2 - 强调文字颜色 524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1">
    <w:name w:val="中等深浅网格 3 - 强调文字颜色 524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2">
    <w:name w:val="彩色网格 - 强调文字颜色 524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11">
    <w:name w:val="中等深浅网格 2 - 强调文字颜色 524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2">
    <w:name w:val="中等深浅底纹 2 - 强调文字颜色 524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11">
    <w:name w:val="简明型 14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1">
    <w:name w:val="浅色底纹 - 着色 34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1">
    <w:name w:val="网格型 84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1">
    <w:name w:val="浅色底纹 - 强调文字颜色 114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10">
    <w:name w:val="浅色列表 - 强调文字颜色 114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1">
    <w:name w:val="中等深浅网格 3 - 着色 54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31">
    <w:name w:val="中等深浅网格 3 - 着色 14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310">
    <w:name w:val="浅色网格 - 着色 54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311">
    <w:name w:val="彩色底纹 - 着色 54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10">
    <w:name w:val="浅色底纹15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1">
    <w:name w:val="列表型 34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1">
    <w:name w:val="表格主题4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古典型 14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13">
    <w:name w:val="网格型14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浅色底纹 - 着色 44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2">
    <w:name w:val="浅色底纹 - 着色 54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1">
    <w:name w:val="浅色底纹114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1">
    <w:name w:val="中等深浅底纹 1 - 着色 64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1">
    <w:name w:val="浅色列表 - 着色 64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1">
    <w:name w:val="网格表 4 - 着色 115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1">
    <w:name w:val="网格表 5 深色 - 着色 1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1">
    <w:name w:val="网格表 5 深色 - 着色 5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1">
    <w:name w:val="网格表 4 - 着色 1114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1">
    <w:name w:val="网格表 5 深色 - 着色 1114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1">
    <w:name w:val="网格表 5 深色 - 着色 5114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1">
    <w:name w:val="网格型6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中等深浅列表 215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1">
    <w:name w:val="中等深浅底纹 1 - 强调文字颜色 515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10">
    <w:name w:val="浅色底纹 - 强调文字颜色 515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11">
    <w:name w:val="浅色列表 - 强调文字颜色 515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10">
    <w:name w:val="中等深浅列表 2 - 强调文字颜色 515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1">
    <w:name w:val="中等深浅网格 3 - 强调文字颜色 515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2">
    <w:name w:val="彩色网格 - 强调文字颜色 515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11">
    <w:name w:val="中等深浅网格 2 - 强调文字颜色 515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2">
    <w:name w:val="中等深浅底纹 2 - 强调文字颜色 515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1">
    <w:name w:val="中等深浅底纹 1 - 强调文字颜色 525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10">
    <w:name w:val="浅色底纹 - 强调文字颜色 525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11">
    <w:name w:val="浅色列表 - 强调文字颜色 525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10">
    <w:name w:val="中等深浅列表 2 - 强调文字颜色 525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1">
    <w:name w:val="中等深浅网格 3 - 强调文字颜色 525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2">
    <w:name w:val="彩色网格 - 强调文字颜色 525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11">
    <w:name w:val="中等深浅网格 2 - 强调文字颜色 525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2">
    <w:name w:val="中等深浅底纹 2 - 强调文字颜色 525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11">
    <w:name w:val="简明型 15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1">
    <w:name w:val="浅色底纹 - 着色 35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1">
    <w:name w:val="网格型 85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1">
    <w:name w:val="浅色底纹 - 强调文字颜色 115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10">
    <w:name w:val="浅色列表 - 强调文字颜色 115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1">
    <w:name w:val="中等深浅网格 3 - 着色 5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31">
    <w:name w:val="中等深浅网格 3 - 着色 1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310">
    <w:name w:val="浅色网格 - 着色 55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311">
    <w:name w:val="彩色底纹 - 着色 55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1">
    <w:name w:val="浅色底纹16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1">
    <w:name w:val="列表型 35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10">
    <w:name w:val="表格主题5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古典型 15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13">
    <w:name w:val="网格型15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1">
    <w:name w:val="浅色底纹 - 着色 45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2">
    <w:name w:val="浅色底纹 - 着色 55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1">
    <w:name w:val="浅色底纹115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1">
    <w:name w:val="中等深浅底纹 1 - 着色 65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1">
    <w:name w:val="浅色列表 - 着色 65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1">
    <w:name w:val="网格表 4 - 着色 116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1">
    <w:name w:val="网格表 5 深色 - 着色 116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1">
    <w:name w:val="网格表 5 深色 - 着色 516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1">
    <w:name w:val="网格表 4 - 着色 1115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1">
    <w:name w:val="网格表 5 深色 - 着色 11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1">
    <w:name w:val="网格表 5 深色 - 着色 51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60">
    <w:name w:val="网格型2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中等深浅列表 211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6">
    <w:name w:val="中等深浅底纹 1 - 强调文字颜色 511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6">
    <w:name w:val="浅色底纹 - 强调文字颜色 511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60">
    <w:name w:val="浅色列表 - 强调文字颜色 511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6">
    <w:name w:val="中等深浅列表 2 - 强调文字颜色 511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6">
    <w:name w:val="中等深浅网格 3 - 强调文字颜色 511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61">
    <w:name w:val="彩色网格 - 强调文字颜色 511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60">
    <w:name w:val="中等深浅网格 2 - 强调文字颜色 51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61">
    <w:name w:val="中等深浅底纹 2 - 强调文字颜色 511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6">
    <w:name w:val="中等深浅底纹 1 - 强调文字颜色 521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6">
    <w:name w:val="浅色底纹 - 强调文字颜色 521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60">
    <w:name w:val="浅色列表 - 强调文字颜色 521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6">
    <w:name w:val="中等深浅列表 2 - 强调文字颜色 521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6">
    <w:name w:val="中等深浅网格 3 - 强调文字颜色 521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61">
    <w:name w:val="彩色网格 - 强调文字颜色 521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60">
    <w:name w:val="中等深浅网格 2 - 强调文字颜色 52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61">
    <w:name w:val="中等深浅底纹 2 - 强调文字颜色 521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60">
    <w:name w:val="简明型 11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6">
    <w:name w:val="浅色底纹 - 着色 31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60">
    <w:name w:val="网格型 81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6">
    <w:name w:val="浅色底纹 - 强调文字颜色 111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0">
    <w:name w:val="浅色列表 - 强调文字颜色 1116"/>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60">
    <w:name w:val="中等深浅网格 3 - 着色 51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6">
    <w:name w:val="中等深浅网格 3 - 着色 11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62">
    <w:name w:val="浅色网格 - 着色 51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63">
    <w:name w:val="彩色底纹 - 着色 51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6">
    <w:name w:val="浅色底纹126"/>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
    <w:name w:val="列表型 31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66">
    <w:name w:val="表格主题1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古典型 11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63">
    <w:name w:val="网格型116"/>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浅色底纹 - 着色 416"/>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64">
    <w:name w:val="浅色底纹 - 着色 516"/>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60">
    <w:name w:val="浅色底纹1116"/>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6">
    <w:name w:val="中等深浅底纹 1 - 着色 616"/>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6">
    <w:name w:val="浅色列表 - 着色 616"/>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6">
    <w:name w:val="网格表 4 - 着色 112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6">
    <w:name w:val="网格表 5 深色 - 着色 112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6">
    <w:name w:val="网格表 5 深色 - 着色 512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6">
    <w:name w:val="网格表 4 - 着色 1111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6">
    <w:name w:val="网格表 5 深色 - 着色 1111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6">
    <w:name w:val="网格表 5 深色 - 着色 5111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7">
    <w:name w:val="网格型27"/>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中等深浅列表 2117"/>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7">
    <w:name w:val="中等深浅底纹 1 - 强调文字颜色 511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7">
    <w:name w:val="浅色底纹 - 强调文字颜色 511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70">
    <w:name w:val="浅色列表 - 强调文字颜色 511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7">
    <w:name w:val="中等深浅列表 2 - 强调文字颜色 511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7">
    <w:name w:val="中等深浅网格 3 - 强调文字颜色 511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71">
    <w:name w:val="彩色网格 - 强调文字颜色 511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70">
    <w:name w:val="中等深浅网格 2 - 强调文字颜色 511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71">
    <w:name w:val="中等深浅底纹 2 - 强调文字颜色 511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7">
    <w:name w:val="中等深浅底纹 1 - 强调文字颜色 521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7">
    <w:name w:val="浅色底纹 - 强调文字颜色 521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70">
    <w:name w:val="浅色列表 - 强调文字颜色 521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7">
    <w:name w:val="中等深浅列表 2 - 强调文字颜色 521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7">
    <w:name w:val="中等深浅网格 3 - 强调文字颜色 521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71">
    <w:name w:val="彩色网格 - 强调文字颜色 521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70">
    <w:name w:val="中等深浅网格 2 - 强调文字颜色 521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71">
    <w:name w:val="中等深浅底纹 2 - 强调文字颜色 521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72">
    <w:name w:val="简明型 117"/>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7">
    <w:name w:val="浅色底纹 - 着色 317"/>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70">
    <w:name w:val="网格型 817"/>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7">
    <w:name w:val="浅色底纹 - 强调文字颜色 1117"/>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70">
    <w:name w:val="浅色列表 - 强调文字颜色 1117"/>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70">
    <w:name w:val="中等深浅网格 3 - 着色 517"/>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7">
    <w:name w:val="中等深浅网格 3 - 着色 117"/>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72">
    <w:name w:val="浅色网格 - 着色 517"/>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73">
    <w:name w:val="彩色底纹 - 着色 517"/>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7">
    <w:name w:val="浅色底纹127"/>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7">
    <w:name w:val="列表型 317"/>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74">
    <w:name w:val="表格主题17"/>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古典型 117"/>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74">
    <w:name w:val="网格型117"/>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浅色底纹 - 着色 417"/>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74">
    <w:name w:val="浅色底纹 - 着色 517"/>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7">
    <w:name w:val="浅色底纹1117"/>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7">
    <w:name w:val="中等深浅底纹 1 - 着色 617"/>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7">
    <w:name w:val="浅色列表 - 着色 617"/>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7">
    <w:name w:val="网格表 4 - 着色 1127"/>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7">
    <w:name w:val="网格表 5 深色 - 着色 1127"/>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7">
    <w:name w:val="网格表 5 深色 - 着色 5127"/>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7">
    <w:name w:val="网格表 4 - 着色 11117"/>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7">
    <w:name w:val="网格表 5 深色 - 着色 11117"/>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7">
    <w:name w:val="网格表 5 深色 - 着色 51117"/>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62">
    <w:name w:val="网格型3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中等深浅列表 212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6">
    <w:name w:val="中等深浅底纹 1 - 强调文字颜色 512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6">
    <w:name w:val="浅色底纹 - 强调文字颜色 512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60">
    <w:name w:val="浅色列表 - 强调文字颜色 512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6">
    <w:name w:val="中等深浅列表 2 - 强调文字颜色 512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6">
    <w:name w:val="中等深浅网格 3 - 强调文字颜色 512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61">
    <w:name w:val="彩色网格 - 强调文字颜色 512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60">
    <w:name w:val="中等深浅网格 2 - 强调文字颜色 512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61">
    <w:name w:val="中等深浅底纹 2 - 强调文字颜色 512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6">
    <w:name w:val="中等深浅底纹 1 - 强调文字颜色 522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6">
    <w:name w:val="浅色底纹 - 强调文字颜色 522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60">
    <w:name w:val="浅色列表 - 强调文字颜色 522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6">
    <w:name w:val="中等深浅列表 2 - 强调文字颜色 522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6">
    <w:name w:val="中等深浅网格 3 - 强调文字颜色 522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61">
    <w:name w:val="彩色网格 - 强调文字颜色 522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60">
    <w:name w:val="中等深浅网格 2 - 强调文字颜色 522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61">
    <w:name w:val="中等深浅底纹 2 - 强调文字颜色 522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60">
    <w:name w:val="简明型 12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6">
    <w:name w:val="浅色底纹 - 着色 32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6">
    <w:name w:val="网格型 82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6">
    <w:name w:val="浅色底纹 - 强调文字颜色 112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60">
    <w:name w:val="浅色列表 - 强调文字颜色 1126"/>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60">
    <w:name w:val="中等深浅网格 3 - 着色 52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6">
    <w:name w:val="中等深浅网格 3 - 着色 12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62">
    <w:name w:val="浅色网格 - 着色 52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63">
    <w:name w:val="彩色底纹 - 着色 52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6">
    <w:name w:val="浅色底纹136"/>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6">
    <w:name w:val="列表型 32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61">
    <w:name w:val="表格主题2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古典型 12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62">
    <w:name w:val="网格型126"/>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浅色底纹 - 着色 426"/>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64">
    <w:name w:val="浅色底纹 - 着色 526"/>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6">
    <w:name w:val="浅色底纹1126"/>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6">
    <w:name w:val="中等深浅底纹 1 - 着色 626"/>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6">
    <w:name w:val="浅色列表 - 着色 626"/>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6">
    <w:name w:val="网格表 4 - 着色 113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6">
    <w:name w:val="网格表 5 深色 - 着色 113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6">
    <w:name w:val="网格表 5 深色 - 着色 513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6">
    <w:name w:val="网格表 4 - 着色 1112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6">
    <w:name w:val="网格表 5 深色 - 着色 1112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6">
    <w:name w:val="网格表 5 深色 - 着色 5112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6">
    <w:name w:val="网格型4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
    <w:name w:val="中等深浅列表 213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6">
    <w:name w:val="中等深浅底纹 1 - 强调文字颜色 513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6">
    <w:name w:val="浅色底纹 - 强调文字颜色 513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60">
    <w:name w:val="浅色列表 - 强调文字颜色 513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6">
    <w:name w:val="中等深浅列表 2 - 强调文字颜色 513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6">
    <w:name w:val="中等深浅网格 3 - 强调文字颜色 513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61">
    <w:name w:val="彩色网格 - 强调文字颜色 513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60">
    <w:name w:val="中等深浅网格 2 - 强调文字颜色 513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61">
    <w:name w:val="中等深浅底纹 2 - 强调文字颜色 513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6">
    <w:name w:val="中等深浅底纹 1 - 强调文字颜色 523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6">
    <w:name w:val="浅色底纹 - 强调文字颜色 523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60">
    <w:name w:val="浅色列表 - 强调文字颜色 523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6">
    <w:name w:val="中等深浅列表 2 - 强调文字颜色 523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6">
    <w:name w:val="中等深浅网格 3 - 强调文字颜色 523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61">
    <w:name w:val="彩色网格 - 强调文字颜色 523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60">
    <w:name w:val="中等深浅网格 2 - 强调文字颜色 523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61">
    <w:name w:val="中等深浅底纹 2 - 强调文字颜色 523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60">
    <w:name w:val="简明型 13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6">
    <w:name w:val="浅色底纹 - 着色 33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6">
    <w:name w:val="网格型 83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6">
    <w:name w:val="浅色底纹 - 强调文字颜色 113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60">
    <w:name w:val="浅色列表 - 强调文字颜色 1136"/>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6">
    <w:name w:val="中等深浅网格 3 - 着色 53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6">
    <w:name w:val="中等深浅网格 3 - 着色 13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6">
    <w:name w:val="浅色网格 - 着色 53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60">
    <w:name w:val="彩色底纹 - 着色 53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6">
    <w:name w:val="浅色底纹146"/>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6">
    <w:name w:val="列表型 33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63">
    <w:name w:val="表格主题3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古典型 13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62">
    <w:name w:val="网格型136"/>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浅色底纹 - 着色 436"/>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61">
    <w:name w:val="浅色底纹 - 着色 536"/>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6">
    <w:name w:val="浅色底纹1136"/>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6">
    <w:name w:val="中等深浅底纹 1 - 着色 636"/>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6">
    <w:name w:val="浅色列表 - 着色 636"/>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6">
    <w:name w:val="网格表 4 - 着色 114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6">
    <w:name w:val="网格表 5 深色 - 着色 114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6">
    <w:name w:val="网格表 5 深色 - 着色 514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6">
    <w:name w:val="网格表 4 - 着色 1113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6">
    <w:name w:val="网格表 5 深色 - 着色 1113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6">
    <w:name w:val="网格表 5 深色 - 着色 5113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6">
    <w:name w:val="网格型5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中等深浅列表 214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6">
    <w:name w:val="中等深浅底纹 1 - 强调文字颜色 514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60">
    <w:name w:val="浅色底纹 - 强调文字颜色 514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61">
    <w:name w:val="浅色列表 - 强调文字颜色 514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6">
    <w:name w:val="中等深浅列表 2 - 强调文字颜色 514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6">
    <w:name w:val="中等深浅网格 3 - 强调文字颜色 514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62">
    <w:name w:val="彩色网格 - 强调文字颜色 514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60">
    <w:name w:val="中等深浅网格 2 - 强调文字颜色 514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61">
    <w:name w:val="中等深浅底纹 2 - 强调文字颜色 514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6">
    <w:name w:val="中等深浅底纹 1 - 强调文字颜色 524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60">
    <w:name w:val="浅色底纹 - 强调文字颜色 524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61">
    <w:name w:val="浅色列表 - 强调文字颜色 524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6">
    <w:name w:val="中等深浅列表 2 - 强调文字颜色 524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6">
    <w:name w:val="中等深浅网格 3 - 强调文字颜色 524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62">
    <w:name w:val="彩色网格 - 强调文字颜色 524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60">
    <w:name w:val="中等深浅网格 2 - 强调文字颜色 524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61">
    <w:name w:val="中等深浅底纹 2 - 强调文字颜色 524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60">
    <w:name w:val="简明型 14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6">
    <w:name w:val="浅色底纹 - 着色 34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6">
    <w:name w:val="网格型 84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6">
    <w:name w:val="浅色底纹 - 强调文字颜色 114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60">
    <w:name w:val="浅色列表 - 强调文字颜色 1146"/>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6">
    <w:name w:val="中等深浅网格 3 - 着色 54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6">
    <w:name w:val="中等深浅网格 3 - 着色 14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6">
    <w:name w:val="浅色网格 - 着色 54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60">
    <w:name w:val="彩色底纹 - 着色 54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6">
    <w:name w:val="浅色底纹156"/>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6">
    <w:name w:val="列表型 34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60">
    <w:name w:val="表格主题4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古典型 14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62">
    <w:name w:val="网格型146"/>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浅色底纹 - 着色 446"/>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61">
    <w:name w:val="浅色底纹 - 着色 546"/>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6">
    <w:name w:val="浅色底纹1146"/>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6">
    <w:name w:val="中等深浅底纹 1 - 着色 646"/>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6">
    <w:name w:val="浅色列表 - 着色 646"/>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6">
    <w:name w:val="网格表 4 - 着色 1156"/>
    <w:basedOn w:val="a1"/>
    <w:autoRedefine/>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6">
    <w:name w:val="网格表 5 深色 - 着色 115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6">
    <w:name w:val="网格表 5 深色 - 着色 515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6">
    <w:name w:val="网格表 4 - 着色 1114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6">
    <w:name w:val="网格表 5 深色 - 着色 1114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6">
    <w:name w:val="网格表 5 深色 - 着色 5114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6">
    <w:name w:val="网格型6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中等深浅列表 215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6">
    <w:name w:val="中等深浅底纹 1 - 强调文字颜色 515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60">
    <w:name w:val="浅色底纹 - 强调文字颜色 515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61">
    <w:name w:val="浅色列表 - 强调文字颜色 515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6">
    <w:name w:val="中等深浅列表 2 - 强调文字颜色 515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6">
    <w:name w:val="中等深浅网格 3 - 强调文字颜色 515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62">
    <w:name w:val="彩色网格 - 强调文字颜色 515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60">
    <w:name w:val="中等深浅网格 2 - 强调文字颜色 515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61">
    <w:name w:val="中等深浅底纹 2 - 强调文字颜色 515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6">
    <w:name w:val="中等深浅底纹 1 - 强调文字颜色 525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60">
    <w:name w:val="浅色底纹 - 强调文字颜色 525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61">
    <w:name w:val="浅色列表 - 强调文字颜色 525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6">
    <w:name w:val="中等深浅列表 2 - 强调文字颜色 525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6">
    <w:name w:val="中等深浅网格 3 - 强调文字颜色 525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62">
    <w:name w:val="彩色网格 - 强调文字颜色 525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60">
    <w:name w:val="中等深浅网格 2 - 强调文字颜色 525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61">
    <w:name w:val="中等深浅底纹 2 - 强调文字颜色 525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60">
    <w:name w:val="简明型 15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6">
    <w:name w:val="浅色底纹 - 着色 35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6">
    <w:name w:val="网格型 85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6">
    <w:name w:val="浅色底纹 - 强调文字颜色 115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60">
    <w:name w:val="浅色列表 - 强调文字颜色 1156"/>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6">
    <w:name w:val="中等深浅网格 3 - 着色 55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6">
    <w:name w:val="中等深浅网格 3 - 着色 15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6">
    <w:name w:val="浅色网格 - 着色 55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60">
    <w:name w:val="彩色底纹 - 着色 55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60">
    <w:name w:val="浅色底纹166"/>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0">
    <w:name w:val="列表型 35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0">
    <w:name w:val="表格主题5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古典型 15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62">
    <w:name w:val="网格型156"/>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浅色底纹 - 着色 456"/>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61">
    <w:name w:val="浅色底纹 - 着色 556"/>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60">
    <w:name w:val="浅色底纹1156"/>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6">
    <w:name w:val="中等深浅底纹 1 - 着色 656"/>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6">
    <w:name w:val="浅色列表 - 着色 656"/>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6">
    <w:name w:val="网格表 4 - 着色 116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6">
    <w:name w:val="网格表 5 深色 - 着色 116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6">
    <w:name w:val="网格表 5 深色 - 着色 516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6">
    <w:name w:val="网格表 4 - 着色 1115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6">
    <w:name w:val="网格表 5 深色 - 着色 1115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6">
    <w:name w:val="网格表 5 深色 - 着色 5115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72">
    <w:name w:val="网格型7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中等深浅列表 216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2">
    <w:name w:val="中等深浅底纹 1 - 强调文字颜色 516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20">
    <w:name w:val="浅色底纹 - 强调文字颜色 516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21">
    <w:name w:val="浅色列表 - 强调文字颜色 516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2">
    <w:name w:val="中等深浅列表 2 - 强调文字颜色 516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2">
    <w:name w:val="中等深浅网格 3 - 强调文字颜色 516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22">
    <w:name w:val="彩色网格 - 强调文字颜色 516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20">
    <w:name w:val="中等深浅网格 2 - 强调文字颜色 516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21">
    <w:name w:val="中等深浅底纹 2 - 强调文字颜色 516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2">
    <w:name w:val="中等深浅底纹 1 - 强调文字颜色 526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20">
    <w:name w:val="浅色底纹 - 强调文字颜色 526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21">
    <w:name w:val="浅色列表 - 强调文字颜色 526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2">
    <w:name w:val="中等深浅列表 2 - 强调文字颜色 526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2">
    <w:name w:val="中等深浅网格 3 - 强调文字颜色 526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22">
    <w:name w:val="彩色网格 - 强调文字颜色 526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20">
    <w:name w:val="中等深浅网格 2 - 强调文字颜色 526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21">
    <w:name w:val="中等深浅底纹 2 - 强调文字颜色 526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22">
    <w:name w:val="简明型 16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2">
    <w:name w:val="浅色底纹 - 着色 36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62">
    <w:name w:val="网格型 86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2">
    <w:name w:val="浅色底纹 - 强调文字颜色 116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20">
    <w:name w:val="浅色列表 - 强调文字颜色 116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62">
    <w:name w:val="中等深浅网格 3 - 着色 56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62">
    <w:name w:val="中等深浅网格 3 - 着色 16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62">
    <w:name w:val="浅色网格 - 着色 56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620">
    <w:name w:val="彩色底纹 - 着色 56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720">
    <w:name w:val="浅色底纹17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0">
    <w:name w:val="列表型 36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20">
    <w:name w:val="表格主题6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古典型 16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24">
    <w:name w:val="网格型16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浅色底纹 - 着色 46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621">
    <w:name w:val="浅色底纹 - 着色 56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620">
    <w:name w:val="浅色底纹116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62">
    <w:name w:val="中等深浅底纹 1 - 着色 66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62">
    <w:name w:val="浅色列表 - 着色 66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72">
    <w:name w:val="网格表 4 - 着色 117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72">
    <w:name w:val="网格表 5 深色 - 着色 117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72">
    <w:name w:val="网格表 5 深色 - 着色 517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62">
    <w:name w:val="网格表 4 - 着色 1116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62">
    <w:name w:val="网格表 5 深色 - 着色 1116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62">
    <w:name w:val="网格表 5 深色 - 着色 5116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127">
    <w:name w:val="网格型21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中等深浅列表 211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2">
    <w:name w:val="中等深浅底纹 1 - 强调文字颜色 511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20">
    <w:name w:val="浅色底纹 - 强调文字颜色 511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21">
    <w:name w:val="浅色列表 - 强调文字颜色 511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20">
    <w:name w:val="中等深浅列表 2 - 强调文字颜色 511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2">
    <w:name w:val="中等深浅网格 3 - 强调文字颜色 511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2">
    <w:name w:val="彩色网格 - 强调文字颜色 511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21">
    <w:name w:val="中等深浅网格 2 - 强调文字颜色 511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2">
    <w:name w:val="中等深浅底纹 2 - 强调文字颜色 511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2">
    <w:name w:val="中等深浅底纹 1 - 强调文字颜色 521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20">
    <w:name w:val="浅色底纹 - 强调文字颜色 521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21">
    <w:name w:val="浅色列表 - 强调文字颜色 521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20">
    <w:name w:val="中等深浅列表 2 - 强调文字颜色 521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2">
    <w:name w:val="中等深浅网格 3 - 强调文字颜色 521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2">
    <w:name w:val="彩色网格 - 强调文字颜色 521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21">
    <w:name w:val="中等深浅网格 2 - 强调文字颜色 521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2">
    <w:name w:val="中等深浅底纹 2 - 强调文字颜色 521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22">
    <w:name w:val="简明型 11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2">
    <w:name w:val="浅色底纹 - 着色 311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2">
    <w:name w:val="网格型 81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2">
    <w:name w:val="浅色底纹 - 强调文字颜色 1111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0">
    <w:name w:val="浅色列表 - 强调文字颜色 1111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120">
    <w:name w:val="中等深浅网格 3 - 着色 51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12">
    <w:name w:val="中等深浅网格 3 - 着色 11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123">
    <w:name w:val="浅色网格 - 着色 511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124">
    <w:name w:val="彩色底纹 - 着色 511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120">
    <w:name w:val="浅色底纹121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0">
    <w:name w:val="列表型 31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27">
    <w:name w:val="表格主题1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古典型 11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4">
    <w:name w:val="网格型111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浅色底纹 - 着色 411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5">
    <w:name w:val="浅色底纹 - 着色 511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120">
    <w:name w:val="浅色底纹1111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2">
    <w:name w:val="中等深浅底纹 1 - 着色 611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
    <w:name w:val="浅色列表 - 着色 611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12">
    <w:name w:val="网格表 4 - 着色 112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12">
    <w:name w:val="网格表 5 深色 - 着色 112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12">
    <w:name w:val="网格表 5 深色 - 着色 512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12">
    <w:name w:val="网格表 4 - 着色 1111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12">
    <w:name w:val="网格表 5 深色 - 着色 1111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12">
    <w:name w:val="网格表 5 深色 - 着色 5111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122">
    <w:name w:val="网格型31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中等深浅列表 212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2">
    <w:name w:val="中等深浅底纹 1 - 强调文字颜色 512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20">
    <w:name w:val="浅色底纹 - 强调文字颜色 512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21">
    <w:name w:val="浅色列表 - 强调文字颜色 512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20">
    <w:name w:val="中等深浅列表 2 - 强调文字颜色 512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2">
    <w:name w:val="中等深浅网格 3 - 强调文字颜色 512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2">
    <w:name w:val="彩色网格 - 强调文字颜色 512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21">
    <w:name w:val="中等深浅网格 2 - 强调文字颜色 512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2">
    <w:name w:val="中等深浅底纹 2 - 强调文字颜色 512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2">
    <w:name w:val="中等深浅底纹 1 - 强调文字颜色 522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20">
    <w:name w:val="浅色底纹 - 强调文字颜色 522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21">
    <w:name w:val="浅色列表 - 强调文字颜色 522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20">
    <w:name w:val="中等深浅列表 2 - 强调文字颜色 522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2">
    <w:name w:val="中等深浅网格 3 - 强调文字颜色 522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2">
    <w:name w:val="彩色网格 - 强调文字颜色 522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21">
    <w:name w:val="中等深浅网格 2 - 强调文字颜色 522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2">
    <w:name w:val="中等深浅底纹 2 - 强调文字颜色 522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21">
    <w:name w:val="简明型 12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2">
    <w:name w:val="浅色底纹 - 着色 321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2">
    <w:name w:val="网格型 82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2">
    <w:name w:val="浅色底纹 - 强调文字颜色 1121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20">
    <w:name w:val="浅色列表 - 强调文字颜色 1121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120">
    <w:name w:val="中等深浅网格 3 - 着色 52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12">
    <w:name w:val="中等深浅网格 3 - 着色 12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123">
    <w:name w:val="浅色网格 - 着色 521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124">
    <w:name w:val="彩色底纹 - 着色 521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20">
    <w:name w:val="浅色底纹131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0">
    <w:name w:val="列表型 32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28">
    <w:name w:val="表格主题2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古典型 12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23">
    <w:name w:val="网格型121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浅色底纹 - 着色 421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5">
    <w:name w:val="浅色底纹 - 着色 521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120">
    <w:name w:val="浅色底纹1121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2">
    <w:name w:val="中等深浅底纹 1 - 着色 621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
    <w:name w:val="浅色列表 - 着色 621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12">
    <w:name w:val="网格表 4 - 着色 113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12">
    <w:name w:val="网格表 5 深色 - 着色 113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12">
    <w:name w:val="网格表 5 深色 - 着色 513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12">
    <w:name w:val="网格表 4 - 着色 1112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12">
    <w:name w:val="网格表 5 深色 - 着色 1112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12">
    <w:name w:val="网格表 5 深色 - 着色 5112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2">
    <w:name w:val="网格型41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中等深浅列表 213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2">
    <w:name w:val="中等深浅底纹 1 - 强调文字颜色 513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20">
    <w:name w:val="浅色底纹 - 强调文字颜色 513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21">
    <w:name w:val="浅色列表 - 强调文字颜色 513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20">
    <w:name w:val="中等深浅列表 2 - 强调文字颜色 513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2">
    <w:name w:val="中等深浅网格 3 - 强调文字颜色 513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2">
    <w:name w:val="彩色网格 - 强调文字颜色 513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21">
    <w:name w:val="中等深浅网格 2 - 强调文字颜色 513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2">
    <w:name w:val="中等深浅底纹 2 - 强调文字颜色 513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2">
    <w:name w:val="中等深浅底纹 1 - 强调文字颜色 523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20">
    <w:name w:val="浅色底纹 - 强调文字颜色 523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21">
    <w:name w:val="浅色列表 - 强调文字颜色 523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20">
    <w:name w:val="中等深浅列表 2 - 强调文字颜色 523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2">
    <w:name w:val="中等深浅网格 3 - 强调文字颜色 523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2">
    <w:name w:val="彩色网格 - 强调文字颜色 523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21">
    <w:name w:val="中等深浅网格 2 - 强调文字颜色 523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2">
    <w:name w:val="中等深浅底纹 2 - 强调文字颜色 523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21">
    <w:name w:val="简明型 13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2">
    <w:name w:val="浅色底纹 - 着色 331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12">
    <w:name w:val="网格型 83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2">
    <w:name w:val="浅色底纹 - 强调文字颜色 1131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20">
    <w:name w:val="浅色列表 - 强调文字颜色 1131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12">
    <w:name w:val="中等深浅网格 3 - 着色 53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12">
    <w:name w:val="中等深浅网格 3 - 着色 13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120">
    <w:name w:val="浅色网格 - 着色 531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121">
    <w:name w:val="彩色底纹 - 着色 531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120">
    <w:name w:val="浅色底纹141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列表型 33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23">
    <w:name w:val="表格主题3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古典型 13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23">
    <w:name w:val="网格型131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浅色底纹 - 着色 431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122">
    <w:name w:val="浅色底纹 - 着色 531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120">
    <w:name w:val="浅色底纹1131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12">
    <w:name w:val="中等深浅底纹 1 - 着色 631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12">
    <w:name w:val="浅色列表 - 着色 631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12">
    <w:name w:val="网格表 4 - 着色 114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12">
    <w:name w:val="网格表 5 深色 - 着色 114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12">
    <w:name w:val="网格表 5 深色 - 着色 514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12">
    <w:name w:val="网格表 4 - 着色 1113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12">
    <w:name w:val="网格表 5 深色 - 着色 1113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12">
    <w:name w:val="网格表 5 深色 - 着色 5113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12">
    <w:name w:val="网格型51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中等深浅列表 214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2">
    <w:name w:val="中等深浅底纹 1 - 强调文字颜色 514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20">
    <w:name w:val="浅色底纹 - 强调文字颜色 514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21">
    <w:name w:val="浅色列表 - 强调文字颜色 514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20">
    <w:name w:val="中等深浅列表 2 - 强调文字颜色 514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2">
    <w:name w:val="中等深浅网格 3 - 强调文字颜色 514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2">
    <w:name w:val="彩色网格 - 强调文字颜色 514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21">
    <w:name w:val="中等深浅网格 2 - 强调文字颜色 514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2">
    <w:name w:val="中等深浅底纹 2 - 强调文字颜色 514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2">
    <w:name w:val="中等深浅底纹 1 - 强调文字颜色 524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20">
    <w:name w:val="浅色底纹 - 强调文字颜色 524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21">
    <w:name w:val="浅色列表 - 强调文字颜色 524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20">
    <w:name w:val="中等深浅列表 2 - 强调文字颜色 524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2">
    <w:name w:val="中等深浅网格 3 - 强调文字颜色 524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2">
    <w:name w:val="彩色网格 - 强调文字颜色 524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21">
    <w:name w:val="中等深浅网格 2 - 强调文字颜色 524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2">
    <w:name w:val="中等深浅底纹 2 - 强调文字颜色 524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21">
    <w:name w:val="简明型 14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2">
    <w:name w:val="浅色底纹 - 着色 341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12">
    <w:name w:val="网格型 84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2">
    <w:name w:val="浅色底纹 - 强调文字颜色 1141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120">
    <w:name w:val="浅色列表 - 强调文字颜色 1141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12">
    <w:name w:val="中等深浅网格 3 - 着色 54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12">
    <w:name w:val="中等深浅网格 3 - 着色 14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120">
    <w:name w:val="浅色网格 - 着色 541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121">
    <w:name w:val="彩色底纹 - 着色 541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120">
    <w:name w:val="浅色底纹151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2">
    <w:name w:val="列表型 34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20">
    <w:name w:val="表格主题4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古典型 14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23">
    <w:name w:val="网格型141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浅色底纹 - 着色 441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122">
    <w:name w:val="浅色底纹 - 着色 541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12">
    <w:name w:val="浅色底纹1141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12">
    <w:name w:val="中等深浅底纹 1 - 着色 641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12">
    <w:name w:val="浅色列表 - 着色 641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12">
    <w:name w:val="网格表 4 - 着色 115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12">
    <w:name w:val="网格表 5 深色 - 着色 115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12">
    <w:name w:val="网格表 5 深色 - 着色 515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12">
    <w:name w:val="网格表 4 - 着色 1114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12">
    <w:name w:val="网格表 5 深色 - 着色 1114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12">
    <w:name w:val="网格表 5 深色 - 着色 5114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12">
    <w:name w:val="网格型61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中等深浅列表 215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2">
    <w:name w:val="中等深浅底纹 1 - 强调文字颜色 515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20">
    <w:name w:val="浅色底纹 - 强调文字颜色 515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21">
    <w:name w:val="浅色列表 - 强调文字颜色 515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20">
    <w:name w:val="中等深浅列表 2 - 强调文字颜色 515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2">
    <w:name w:val="中等深浅网格 3 - 强调文字颜色 515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2">
    <w:name w:val="彩色网格 - 强调文字颜色 515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21">
    <w:name w:val="中等深浅网格 2 - 强调文字颜色 515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2">
    <w:name w:val="中等深浅底纹 2 - 强调文字颜色 515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2">
    <w:name w:val="中等深浅底纹 1 - 强调文字颜色 525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20">
    <w:name w:val="浅色底纹 - 强调文字颜色 525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21">
    <w:name w:val="浅色列表 - 强调文字颜色 525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20">
    <w:name w:val="中等深浅列表 2 - 强调文字颜色 525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2">
    <w:name w:val="中等深浅网格 3 - 强调文字颜色 525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2">
    <w:name w:val="彩色网格 - 强调文字颜色 525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21">
    <w:name w:val="中等深浅网格 2 - 强调文字颜色 525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2">
    <w:name w:val="中等深浅底纹 2 - 强调文字颜色 525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21">
    <w:name w:val="简明型 15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2">
    <w:name w:val="浅色底纹 - 着色 351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12">
    <w:name w:val="网格型 85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2">
    <w:name w:val="浅色底纹 - 强调文字颜色 1151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20">
    <w:name w:val="浅色列表 - 强调文字颜色 1151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12">
    <w:name w:val="中等深浅网格 3 - 着色 55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12">
    <w:name w:val="中等深浅网格 3 - 着色 15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120">
    <w:name w:val="浅色网格 - 着色 551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121">
    <w:name w:val="彩色底纹 - 着色 551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120">
    <w:name w:val="浅色底纹161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2">
    <w:name w:val="列表型 35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20">
    <w:name w:val="表格主题5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古典型 15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23">
    <w:name w:val="网格型151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浅色底纹 - 着色 451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122">
    <w:name w:val="浅色底纹 - 着色 551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12">
    <w:name w:val="浅色底纹1151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12">
    <w:name w:val="中等深浅底纹 1 - 着色 651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12">
    <w:name w:val="浅色列表 - 着色 651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12">
    <w:name w:val="网格表 4 - 着色 116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12">
    <w:name w:val="网格表 5 深色 - 着色 116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12">
    <w:name w:val="网格表 5 深色 - 着色 516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12">
    <w:name w:val="网格表 4 - 着色 1115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12">
    <w:name w:val="网格表 5 深色 - 着色 1115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12">
    <w:name w:val="网格表 5 深色 - 着色 5115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820">
    <w:name w:val="网格型8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中等深浅列表 217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2">
    <w:name w:val="中等深浅底纹 1 - 强调文字颜色 517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20">
    <w:name w:val="浅色底纹 - 强调文字颜色 517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21">
    <w:name w:val="浅色列表 - 强调文字颜色 517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2">
    <w:name w:val="中等深浅列表 2 - 强调文字颜色 517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2">
    <w:name w:val="中等深浅网格 3 - 强调文字颜色 517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22">
    <w:name w:val="彩色网格 - 强调文字颜色 517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20">
    <w:name w:val="中等深浅网格 2 - 强调文字颜色 517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21">
    <w:name w:val="中等深浅底纹 2 - 强调文字颜色 517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2">
    <w:name w:val="中等深浅底纹 1 - 强调文字颜色 527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2">
    <w:name w:val="浅色底纹 - 强调文字颜色 527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20">
    <w:name w:val="浅色列表 - 强调文字颜色 527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2">
    <w:name w:val="中等深浅列表 2 - 强调文字颜色 527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2">
    <w:name w:val="中等深浅网格 3 - 强调文字颜色 527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21">
    <w:name w:val="彩色网格 - 强调文字颜色 527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20">
    <w:name w:val="中等深浅网格 2 - 强调文字颜色 527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21">
    <w:name w:val="中等深浅底纹 2 - 强调文字颜色 527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21">
    <w:name w:val="简明型 17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2">
    <w:name w:val="浅色底纹 - 着色 37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72">
    <w:name w:val="网格型 87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2">
    <w:name w:val="浅色底纹 - 强调文字颜色 117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20">
    <w:name w:val="浅色列表 - 强调文字颜色 117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72">
    <w:name w:val="中等深浅网格 3 - 着色 57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72">
    <w:name w:val="中等深浅网格 3 - 着色 17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72">
    <w:name w:val="浅色网格 - 着色 57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720">
    <w:name w:val="彩色底纹 - 着色 57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820">
    <w:name w:val="浅色底纹18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2">
    <w:name w:val="列表型 37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20">
    <w:name w:val="表格主题7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古典型 17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23">
    <w:name w:val="网格型17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浅色底纹 - 着色 47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721">
    <w:name w:val="浅色底纹 - 着色 57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720">
    <w:name w:val="浅色底纹117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72">
    <w:name w:val="中等深浅底纹 1 - 着色 67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72">
    <w:name w:val="浅色列表 - 着色 67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82">
    <w:name w:val="网格表 4 - 着色 118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82">
    <w:name w:val="网格表 5 深色 - 着色 118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82">
    <w:name w:val="网格表 5 深色 - 着色 518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72">
    <w:name w:val="网格表 4 - 着色 1117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72">
    <w:name w:val="网格表 5 深色 - 着色 1117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72">
    <w:name w:val="网格表 5 深色 - 着色 5117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22">
    <w:name w:val="网格型2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中等深浅列表 211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2">
    <w:name w:val="中等深浅底纹 1 - 强调文字颜色 511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20">
    <w:name w:val="浅色底纹 - 强调文字颜色 511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21">
    <w:name w:val="浅色列表 - 强调文字颜色 511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20">
    <w:name w:val="中等深浅列表 2 - 强调文字颜色 511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2">
    <w:name w:val="中等深浅网格 3 - 强调文字颜色 511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2">
    <w:name w:val="彩色网格 - 强调文字颜色 511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21">
    <w:name w:val="中等深浅网格 2 - 强调文字颜色 511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2">
    <w:name w:val="中等深浅底纹 2 - 强调文字颜色 511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2">
    <w:name w:val="中等深浅底纹 1 - 强调文字颜色 521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20">
    <w:name w:val="浅色底纹 - 强调文字颜色 521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21">
    <w:name w:val="浅色列表 - 强调文字颜色 521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20">
    <w:name w:val="中等深浅列表 2 - 强调文字颜色 521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2">
    <w:name w:val="中等深浅网格 3 - 强调文字颜色 521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2">
    <w:name w:val="彩色网格 - 强调文字颜色 521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21">
    <w:name w:val="中等深浅网格 2 - 强调文字颜色 521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2">
    <w:name w:val="中等深浅底纹 2 - 强调文字颜色 521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22">
    <w:name w:val="简明型 11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2">
    <w:name w:val="浅色底纹 - 着色 312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2">
    <w:name w:val="网格型 81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2">
    <w:name w:val="浅色底纹 - 强调文字颜色 1112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0">
    <w:name w:val="浅色列表 - 强调文字颜色 1112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220">
    <w:name w:val="中等深浅网格 3 - 着色 51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22">
    <w:name w:val="中等深浅网格 3 - 着色 11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223">
    <w:name w:val="浅色网格 - 着色 512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224">
    <w:name w:val="彩色底纹 - 着色 512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220">
    <w:name w:val="浅色底纹122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0">
    <w:name w:val="列表型 31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24">
    <w:name w:val="表格主题1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古典型 11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24">
    <w:name w:val="网格型112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浅色底纹 - 着色 412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25">
    <w:name w:val="浅色底纹 - 着色 512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220">
    <w:name w:val="浅色底纹1112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2">
    <w:name w:val="中等深浅底纹 1 - 着色 612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
    <w:name w:val="浅色列表 - 着色 612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22">
    <w:name w:val="网格表 4 - 着色 112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22">
    <w:name w:val="网格表 5 深色 - 着色 112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22">
    <w:name w:val="网格表 5 深色 - 着色 512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22">
    <w:name w:val="网格表 4 - 着色 1111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22">
    <w:name w:val="网格表 5 深色 - 着色 1111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22">
    <w:name w:val="网格表 5 深色 - 着色 5111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222">
    <w:name w:val="网格型3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中等深浅列表 212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2">
    <w:name w:val="中等深浅底纹 1 - 强调文字颜色 512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20">
    <w:name w:val="浅色底纹 - 强调文字颜色 512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21">
    <w:name w:val="浅色列表 - 强调文字颜色 512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2">
    <w:name w:val="中等深浅列表 2 - 强调文字颜色 512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2">
    <w:name w:val="中等深浅网格 3 - 强调文字颜色 512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2">
    <w:name w:val="彩色网格 - 强调文字颜色 512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20">
    <w:name w:val="中等深浅网格 2 - 强调文字颜色 512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21">
    <w:name w:val="中等深浅底纹 2 - 强调文字颜色 512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2">
    <w:name w:val="中等深浅底纹 1 - 强调文字颜色 522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2">
    <w:name w:val="浅色底纹 - 强调文字颜色 522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20">
    <w:name w:val="浅色列表 - 强调文字颜色 522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2">
    <w:name w:val="中等深浅列表 2 - 强调文字颜色 522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2">
    <w:name w:val="中等深浅网格 3 - 强调文字颜色 522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21">
    <w:name w:val="彩色网格 - 强调文字颜色 522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20">
    <w:name w:val="中等深浅网格 2 - 强调文字颜色 522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21">
    <w:name w:val="中等深浅底纹 2 - 强调文字颜色 522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21">
    <w:name w:val="简明型 12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2">
    <w:name w:val="浅色底纹 - 着色 322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2">
    <w:name w:val="网格型 82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2">
    <w:name w:val="浅色底纹 - 强调文字颜色 1122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20">
    <w:name w:val="浅色列表 - 强调文字颜色 1122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220">
    <w:name w:val="中等深浅网格 3 - 着色 52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22">
    <w:name w:val="中等深浅网格 3 - 着色 12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223">
    <w:name w:val="浅色网格 - 着色 522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224">
    <w:name w:val="彩色底纹 - 着色 522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220">
    <w:name w:val="浅色底纹132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20">
    <w:name w:val="列表型 32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20">
    <w:name w:val="表格主题2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古典型 12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23">
    <w:name w:val="网格型122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浅色底纹 - 着色 422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25">
    <w:name w:val="浅色底纹 - 着色 522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220">
    <w:name w:val="浅色底纹1122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2">
    <w:name w:val="中等深浅底纹 1 - 着色 622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浅色列表 - 着色 622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22">
    <w:name w:val="网格表 4 - 着色 113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22">
    <w:name w:val="网格表 5 深色 - 着色 113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22">
    <w:name w:val="网格表 5 深色 - 着色 513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22">
    <w:name w:val="网格表 4 - 着色 1112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22">
    <w:name w:val="网格表 5 深色 - 着色 1112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22">
    <w:name w:val="网格表 5 深色 - 着色 5112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22">
    <w:name w:val="网格型4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中等深浅列表 213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2">
    <w:name w:val="中等深浅底纹 1 - 强调文字颜色 513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20">
    <w:name w:val="浅色底纹 - 强调文字颜色 513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21">
    <w:name w:val="浅色列表 - 强调文字颜色 513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2">
    <w:name w:val="中等深浅列表 2 - 强调文字颜色 513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2">
    <w:name w:val="中等深浅网格 3 - 强调文字颜色 513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2">
    <w:name w:val="彩色网格 - 强调文字颜色 513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20">
    <w:name w:val="中等深浅网格 2 - 强调文字颜色 513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21">
    <w:name w:val="中等深浅底纹 2 - 强调文字颜色 513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2">
    <w:name w:val="中等深浅底纹 1 - 强调文字颜色 523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20">
    <w:name w:val="浅色底纹 - 强调文字颜色 523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21">
    <w:name w:val="浅色列表 - 强调文字颜色 523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2">
    <w:name w:val="中等深浅列表 2 - 强调文字颜色 523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2">
    <w:name w:val="中等深浅网格 3 - 强调文字颜色 523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2">
    <w:name w:val="彩色网格 - 强调文字颜色 523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20">
    <w:name w:val="中等深浅网格 2 - 强调文字颜色 523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21">
    <w:name w:val="中等深浅底纹 2 - 强调文字颜色 523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21">
    <w:name w:val="简明型 13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2">
    <w:name w:val="浅色底纹 - 着色 332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22">
    <w:name w:val="网格型 83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2">
    <w:name w:val="浅色底纹 - 强调文字颜色 1132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20">
    <w:name w:val="浅色列表 - 强调文字颜色 1132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22">
    <w:name w:val="中等深浅网格 3 - 着色 53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22">
    <w:name w:val="中等深浅网格 3 - 着色 13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22">
    <w:name w:val="浅色网格 - 着色 532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220">
    <w:name w:val="彩色底纹 - 着色 532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220">
    <w:name w:val="浅色底纹142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2">
    <w:name w:val="列表型 33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23">
    <w:name w:val="表格主题3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古典型 13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23">
    <w:name w:val="网格型132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浅色底纹 - 着色 432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221">
    <w:name w:val="浅色底纹 - 着色 532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22">
    <w:name w:val="浅色底纹1132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22">
    <w:name w:val="中等深浅底纹 1 - 着色 632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22">
    <w:name w:val="浅色列表 - 着色 632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22">
    <w:name w:val="网格表 4 - 着色 114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22">
    <w:name w:val="网格表 5 深色 - 着色 114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22">
    <w:name w:val="网格表 5 深色 - 着色 514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22">
    <w:name w:val="网格表 4 - 着色 1113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22">
    <w:name w:val="网格表 5 深色 - 着色 1113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22">
    <w:name w:val="网格表 5 深色 - 着色 5113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22">
    <w:name w:val="网格型5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中等深浅列表 214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2">
    <w:name w:val="中等深浅底纹 1 - 强调文字颜色 514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20">
    <w:name w:val="浅色底纹 - 强调文字颜色 514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21">
    <w:name w:val="浅色列表 - 强调文字颜色 514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2">
    <w:name w:val="中等深浅列表 2 - 强调文字颜色 514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2">
    <w:name w:val="中等深浅网格 3 - 强调文字颜色 514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2">
    <w:name w:val="彩色网格 - 强调文字颜色 514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20">
    <w:name w:val="中等深浅网格 2 - 强调文字颜色 514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21">
    <w:name w:val="中等深浅底纹 2 - 强调文字颜色 514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2">
    <w:name w:val="中等深浅底纹 1 - 强调文字颜色 524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20">
    <w:name w:val="浅色底纹 - 强调文字颜色 524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21">
    <w:name w:val="浅色列表 - 强调文字颜色 524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2">
    <w:name w:val="中等深浅列表 2 - 强调文字颜色 524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2">
    <w:name w:val="中等深浅网格 3 - 强调文字颜色 524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2">
    <w:name w:val="彩色网格 - 强调文字颜色 524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20">
    <w:name w:val="中等深浅网格 2 - 强调文字颜色 524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21">
    <w:name w:val="中等深浅底纹 2 - 强调文字颜色 524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21">
    <w:name w:val="简明型 14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2">
    <w:name w:val="浅色底纹 - 着色 342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22">
    <w:name w:val="网格型 84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2">
    <w:name w:val="浅色底纹 - 强调文字颜色 1142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220">
    <w:name w:val="浅色列表 - 强调文字颜色 1142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22">
    <w:name w:val="中等深浅网格 3 - 着色 54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22">
    <w:name w:val="中等深浅网格 3 - 着色 14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22">
    <w:name w:val="浅色网格 - 着色 542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220">
    <w:name w:val="彩色底纹 - 着色 542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220">
    <w:name w:val="浅色底纹152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2">
    <w:name w:val="列表型 34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20">
    <w:name w:val="表格主题4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古典型 14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23">
    <w:name w:val="网格型142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浅色底纹 - 着色 442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221">
    <w:name w:val="浅色底纹 - 着色 542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22">
    <w:name w:val="浅色底纹1142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22">
    <w:name w:val="中等深浅底纹 1 - 着色 642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22">
    <w:name w:val="浅色列表 - 着色 642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22">
    <w:name w:val="网格表 4 - 着色 115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22">
    <w:name w:val="网格表 5 深色 - 着色 115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22">
    <w:name w:val="网格表 5 深色 - 着色 515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22">
    <w:name w:val="网格表 4 - 着色 1114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22">
    <w:name w:val="网格表 5 深色 - 着色 1114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22">
    <w:name w:val="网格表 5 深色 - 着色 5114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22">
    <w:name w:val="网格型6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中等深浅列表 215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2">
    <w:name w:val="中等深浅底纹 1 - 强调文字颜色 515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20">
    <w:name w:val="浅色底纹 - 强调文字颜色 515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21">
    <w:name w:val="浅色列表 - 强调文字颜色 515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2">
    <w:name w:val="中等深浅列表 2 - 强调文字颜色 515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2">
    <w:name w:val="中等深浅网格 3 - 强调文字颜色 515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2">
    <w:name w:val="彩色网格 - 强调文字颜色 515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20">
    <w:name w:val="中等深浅网格 2 - 强调文字颜色 515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21">
    <w:name w:val="中等深浅底纹 2 - 强调文字颜色 515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2">
    <w:name w:val="中等深浅底纹 1 - 强调文字颜色 525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20">
    <w:name w:val="浅色底纹 - 强调文字颜色 525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21">
    <w:name w:val="浅色列表 - 强调文字颜色 525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2">
    <w:name w:val="中等深浅列表 2 - 强调文字颜色 525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2">
    <w:name w:val="中等深浅网格 3 - 强调文字颜色 525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2">
    <w:name w:val="彩色网格 - 强调文字颜色 525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20">
    <w:name w:val="中等深浅网格 2 - 强调文字颜色 525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21">
    <w:name w:val="中等深浅底纹 2 - 强调文字颜色 525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简明型 15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2">
    <w:name w:val="浅色底纹 - 着色 352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22">
    <w:name w:val="网格型 85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2">
    <w:name w:val="浅色底纹 - 强调文字颜色 1152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220">
    <w:name w:val="浅色列表 - 强调文字颜色 1152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22">
    <w:name w:val="中等深浅网格 3 - 着色 55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22">
    <w:name w:val="中等深浅网格 3 - 着色 15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22">
    <w:name w:val="浅色网格 - 着色 552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220">
    <w:name w:val="彩色底纹 - 着色 552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220">
    <w:name w:val="浅色底纹162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22">
    <w:name w:val="列表型 35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20">
    <w:name w:val="表格主题5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2">
    <w:name w:val="古典型 15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23">
    <w:name w:val="网格型152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2">
    <w:name w:val="浅色底纹 - 着色 452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221">
    <w:name w:val="浅色底纹 - 着色 552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22">
    <w:name w:val="浅色底纹1152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22">
    <w:name w:val="中等深浅底纹 1 - 着色 652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22">
    <w:name w:val="浅色列表 - 着色 652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22">
    <w:name w:val="网格表 4 - 着色 116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22">
    <w:name w:val="网格表 5 深色 - 着色 116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22">
    <w:name w:val="网格表 5 深色 - 着色 516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22">
    <w:name w:val="网格表 4 - 着色 1115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22">
    <w:name w:val="网格表 5 深色 - 着色 1115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22">
    <w:name w:val="网格表 5 深色 - 着色 5115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92">
    <w:name w:val="网格型9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中等深浅列表 218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2">
    <w:name w:val="中等深浅底纹 1 - 强调文字颜色 518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2">
    <w:name w:val="浅色底纹 - 强调文字颜色 518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20">
    <w:name w:val="浅色列表 - 强调文字颜色 518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2">
    <w:name w:val="中等深浅列表 2 - 强调文字颜色 518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2">
    <w:name w:val="中等深浅网格 3 - 强调文字颜色 518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21">
    <w:name w:val="彩色网格 - 强调文字颜色 518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20">
    <w:name w:val="中等深浅网格 2 - 强调文字颜色 518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21">
    <w:name w:val="中等深浅底纹 2 - 强调文字颜色 518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2">
    <w:name w:val="中等深浅底纹 1 - 强调文字颜色 528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2">
    <w:name w:val="浅色底纹 - 强调文字颜色 528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20">
    <w:name w:val="浅色列表 - 强调文字颜色 528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2">
    <w:name w:val="中等深浅列表 2 - 强调文字颜色 528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2">
    <w:name w:val="中等深浅网格 3 - 强调文字颜色 528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21">
    <w:name w:val="彩色网格 - 强调文字颜色 528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20">
    <w:name w:val="中等深浅网格 2 - 强调文字颜色 528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21">
    <w:name w:val="中等深浅底纹 2 - 强调文字颜色 528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21">
    <w:name w:val="简明型 18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2">
    <w:name w:val="浅色底纹 - 着色 38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82">
    <w:name w:val="网格型 88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2">
    <w:name w:val="浅色底纹 - 强调文字颜色 118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820">
    <w:name w:val="浅色列表 - 强调文字颜色 118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82">
    <w:name w:val="中等深浅网格 3 - 着色 58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82">
    <w:name w:val="中等深浅网格 3 - 着色 18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82">
    <w:name w:val="浅色网格 - 着色 58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820">
    <w:name w:val="彩色底纹 - 着色 58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920">
    <w:name w:val="浅色底纹19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82">
    <w:name w:val="列表型 38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27">
    <w:name w:val="表格主题8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古典型 18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23">
    <w:name w:val="网格型18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浅色底纹 - 着色 48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821">
    <w:name w:val="浅色底纹 - 着色 58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82">
    <w:name w:val="浅色底纹118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82">
    <w:name w:val="中等深浅底纹 1 - 着色 68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82">
    <w:name w:val="浅色列表 - 着色 68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92">
    <w:name w:val="网格表 4 - 着色 119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92">
    <w:name w:val="网格表 5 深色 - 着色 119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92">
    <w:name w:val="网格表 5 深色 - 着色 519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82">
    <w:name w:val="网格表 4 - 着色 1118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82">
    <w:name w:val="网格表 5 深色 - 着色 1118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82">
    <w:name w:val="网格表 5 深色 - 着色 5118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32">
    <w:name w:val="网格型2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中等深浅列表 211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2">
    <w:name w:val="中等深浅底纹 1 - 强调文字颜色 511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20">
    <w:name w:val="浅色底纹 - 强调文字颜色 511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21">
    <w:name w:val="浅色列表 - 强调文字颜色 511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2">
    <w:name w:val="中等深浅列表 2 - 强调文字颜色 511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2">
    <w:name w:val="中等深浅网格 3 - 强调文字颜色 511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2">
    <w:name w:val="彩色网格 - 强调文字颜色 511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20">
    <w:name w:val="中等深浅网格 2 - 强调文字颜色 511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21">
    <w:name w:val="中等深浅底纹 2 - 强调文字颜色 511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2">
    <w:name w:val="中等深浅底纹 1 - 强调文字颜色 521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20">
    <w:name w:val="浅色底纹 - 强调文字颜色 521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21">
    <w:name w:val="浅色列表 - 强调文字颜色 521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2">
    <w:name w:val="中等深浅列表 2 - 强调文字颜色 521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2">
    <w:name w:val="中等深浅网格 3 - 强调文字颜色 521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2">
    <w:name w:val="彩色网格 - 强调文字颜色 521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20">
    <w:name w:val="中等深浅网格 2 - 强调文字颜色 521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21">
    <w:name w:val="中等深浅底纹 2 - 强调文字颜色 521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20">
    <w:name w:val="简明型 11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2">
    <w:name w:val="浅色底纹 - 着色 31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32">
    <w:name w:val="网格型 81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2">
    <w:name w:val="浅色底纹 - 强调文字颜色 111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0">
    <w:name w:val="浅色列表 - 强调文字颜色 111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320">
    <w:name w:val="中等深浅网格 3 - 着色 51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32">
    <w:name w:val="中等深浅网格 3 - 着色 11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323">
    <w:name w:val="浅色网格 - 着色 51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324">
    <w:name w:val="彩色底纹 - 着色 513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320">
    <w:name w:val="浅色底纹123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列表型 31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24">
    <w:name w:val="表格主题1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古典型 11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24">
    <w:name w:val="网格型113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浅色底纹 - 着色 413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25">
    <w:name w:val="浅色底纹 - 着色 513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32">
    <w:name w:val="浅色底纹1113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2">
    <w:name w:val="中等深浅底纹 1 - 着色 61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2">
    <w:name w:val="浅色列表 - 着色 613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32">
    <w:name w:val="网格表 4 - 着色 112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32">
    <w:name w:val="网格表 5 深色 - 着色 112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32">
    <w:name w:val="网格表 5 深色 - 着色 512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32">
    <w:name w:val="网格表 4 - 着色 1111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32">
    <w:name w:val="网格表 5 深色 - 着色 1111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32">
    <w:name w:val="网格表 5 深色 - 着色 5111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320">
    <w:name w:val="网格型3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中等深浅列表 212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2">
    <w:name w:val="中等深浅底纹 1 - 强调文字颜色 512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20">
    <w:name w:val="浅色底纹 - 强调文字颜色 512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21">
    <w:name w:val="浅色列表 - 强调文字颜色 512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2">
    <w:name w:val="中等深浅列表 2 - 强调文字颜色 512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2">
    <w:name w:val="中等深浅网格 3 - 强调文字颜色 512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2">
    <w:name w:val="彩色网格 - 强调文字颜色 512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20">
    <w:name w:val="中等深浅网格 2 - 强调文字颜色 512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21">
    <w:name w:val="中等深浅底纹 2 - 强调文字颜色 512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2">
    <w:name w:val="中等深浅底纹 1 - 强调文字颜色 522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20">
    <w:name w:val="浅色底纹 - 强调文字颜色 522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21">
    <w:name w:val="浅色列表 - 强调文字颜色 522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2">
    <w:name w:val="中等深浅列表 2 - 强调文字颜色 522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2">
    <w:name w:val="中等深浅网格 3 - 强调文字颜色 522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2">
    <w:name w:val="彩色网格 - 强调文字颜色 522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20">
    <w:name w:val="中等深浅网格 2 - 强调文字颜色 522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21">
    <w:name w:val="中等深浅底纹 2 - 强调文字颜色 522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21">
    <w:name w:val="简明型 12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2">
    <w:name w:val="浅色底纹 - 着色 32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32">
    <w:name w:val="网格型 82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2">
    <w:name w:val="浅色底纹 - 强调文字颜色 112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320">
    <w:name w:val="浅色列表 - 强调文字颜色 112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320">
    <w:name w:val="中等深浅网格 3 - 着色 52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32">
    <w:name w:val="中等深浅网格 3 - 着色 12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323">
    <w:name w:val="浅色网格 - 着色 52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324">
    <w:name w:val="彩色底纹 - 着色 523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320">
    <w:name w:val="浅色底纹133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2">
    <w:name w:val="列表型 32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20">
    <w:name w:val="表格主题2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古典型 12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23">
    <w:name w:val="网格型123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浅色底纹 - 着色 423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25">
    <w:name w:val="浅色底纹 - 着色 523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32">
    <w:name w:val="浅色底纹1123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32">
    <w:name w:val="中等深浅底纹 1 - 着色 62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2">
    <w:name w:val="浅色列表 - 着色 623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32">
    <w:name w:val="网格表 4 - 着色 113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32">
    <w:name w:val="网格表 5 深色 - 着色 113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32">
    <w:name w:val="网格表 5 深色 - 着色 513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32">
    <w:name w:val="网格表 4 - 着色 1112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32">
    <w:name w:val="网格表 5 深色 - 着色 1112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32">
    <w:name w:val="网格表 5 深色 - 着色 5112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32">
    <w:name w:val="网格型4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2">
    <w:name w:val="中等深浅列表 213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2">
    <w:name w:val="中等深浅底纹 1 - 强调文字颜色 513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20">
    <w:name w:val="浅色底纹 - 强调文字颜色 513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21">
    <w:name w:val="浅色列表 - 强调文字颜色 513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2">
    <w:name w:val="中等深浅列表 2 - 强调文字颜色 513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2">
    <w:name w:val="中等深浅网格 3 - 强调文字颜色 513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2">
    <w:name w:val="彩色网格 - 强调文字颜色 513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20">
    <w:name w:val="中等深浅网格 2 - 强调文字颜色 513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21">
    <w:name w:val="中等深浅底纹 2 - 强调文字颜色 513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2">
    <w:name w:val="中等深浅底纹 1 - 强调文字颜色 523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20">
    <w:name w:val="浅色底纹 - 强调文字颜色 523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21">
    <w:name w:val="浅色列表 - 强调文字颜色 523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2">
    <w:name w:val="中等深浅列表 2 - 强调文字颜色 523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2">
    <w:name w:val="中等深浅网格 3 - 强调文字颜色 523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2">
    <w:name w:val="彩色网格 - 强调文字颜色 523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20">
    <w:name w:val="中等深浅网格 2 - 强调文字颜色 523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21">
    <w:name w:val="中等深浅底纹 2 - 强调文字颜色 523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21">
    <w:name w:val="简明型 13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2">
    <w:name w:val="浅色底纹 - 着色 33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32">
    <w:name w:val="网格型 83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2">
    <w:name w:val="浅色底纹 - 强调文字颜色 113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20">
    <w:name w:val="浅色列表 - 强调文字颜色 113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32">
    <w:name w:val="中等深浅网格 3 - 着色 53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32">
    <w:name w:val="中等深浅网格 3 - 着色 13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32">
    <w:name w:val="浅色网格 - 着色 53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320">
    <w:name w:val="彩色底纹 - 着色 533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320">
    <w:name w:val="浅色底纹143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2">
    <w:name w:val="列表型 33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23">
    <w:name w:val="表格主题3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古典型 13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23">
    <w:name w:val="网格型133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浅色底纹 - 着色 433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321">
    <w:name w:val="浅色底纹 - 着色 533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32">
    <w:name w:val="浅色底纹1133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32">
    <w:name w:val="中等深浅底纹 1 - 着色 63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32">
    <w:name w:val="浅色列表 - 着色 633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32">
    <w:name w:val="网格表 4 - 着色 114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32">
    <w:name w:val="网格表 5 深色 - 着色 1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32">
    <w:name w:val="网格表 5 深色 - 着色 5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32">
    <w:name w:val="网格表 4 - 着色 1113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32">
    <w:name w:val="网格表 5 深色 - 着色 1113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32">
    <w:name w:val="网格表 5 深色 - 着色 5113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32">
    <w:name w:val="网格型5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2">
    <w:name w:val="中等深浅列表 214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2">
    <w:name w:val="中等深浅底纹 1 - 强调文字颜色 514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2">
    <w:name w:val="浅色底纹 - 强调文字颜色 514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20">
    <w:name w:val="浅色列表 - 强调文字颜色 514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2">
    <w:name w:val="中等深浅列表 2 - 强调文字颜色 514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2">
    <w:name w:val="中等深浅网格 3 - 强调文字颜色 514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21">
    <w:name w:val="彩色网格 - 强调文字颜色 514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20">
    <w:name w:val="中等深浅网格 2 - 强调文字颜色 514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21">
    <w:name w:val="中等深浅底纹 2 - 强调文字颜色 514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2">
    <w:name w:val="中等深浅底纹 1 - 强调文字颜色 524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2">
    <w:name w:val="浅色底纹 - 强调文字颜色 524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20">
    <w:name w:val="浅色列表 - 强调文字颜色 524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2">
    <w:name w:val="中等深浅列表 2 - 强调文字颜色 524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2">
    <w:name w:val="中等深浅网格 3 - 强调文字颜色 524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21">
    <w:name w:val="彩色网格 - 强调文字颜色 524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20">
    <w:name w:val="中等深浅网格 2 - 强调文字颜色 524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21">
    <w:name w:val="中等深浅底纹 2 - 强调文字颜色 524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21">
    <w:name w:val="简明型 14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2">
    <w:name w:val="浅色底纹 - 着色 34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32">
    <w:name w:val="网格型 84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2">
    <w:name w:val="浅色底纹 - 强调文字颜色 114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320">
    <w:name w:val="浅色列表 - 强调文字颜色 114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32">
    <w:name w:val="中等深浅网格 3 - 着色 54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32">
    <w:name w:val="中等深浅网格 3 - 着色 14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32">
    <w:name w:val="浅色网格 - 着色 54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320">
    <w:name w:val="彩色底纹 - 着色 543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320">
    <w:name w:val="浅色底纹153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2">
    <w:name w:val="列表型 34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20">
    <w:name w:val="表格主题4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古典型 14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23">
    <w:name w:val="网格型143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浅色底纹 - 着色 443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321">
    <w:name w:val="浅色底纹 - 着色 543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32">
    <w:name w:val="浅色底纹1143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32">
    <w:name w:val="中等深浅底纹 1 - 着色 64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32">
    <w:name w:val="浅色列表 - 着色 643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32">
    <w:name w:val="网格表 4 - 着色 115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32">
    <w:name w:val="网格表 5 深色 - 着色 1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32">
    <w:name w:val="网格表 5 深色 - 着色 5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32">
    <w:name w:val="网格表 4 - 着色 1114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32">
    <w:name w:val="网格表 5 深色 - 着色 11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32">
    <w:name w:val="网格表 5 深色 - 着色 51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32">
    <w:name w:val="网格型6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2">
    <w:name w:val="中等深浅列表 215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2">
    <w:name w:val="中等深浅底纹 1 - 强调文字颜色 515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2">
    <w:name w:val="浅色底纹 - 强调文字颜色 515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20">
    <w:name w:val="浅色列表 - 强调文字颜色 515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2">
    <w:name w:val="中等深浅列表 2 - 强调文字颜色 515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2">
    <w:name w:val="中等深浅网格 3 - 强调文字颜色 515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21">
    <w:name w:val="彩色网格 - 强调文字颜色 515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20">
    <w:name w:val="中等深浅网格 2 - 强调文字颜色 515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21">
    <w:name w:val="中等深浅底纹 2 - 强调文字颜色 515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2">
    <w:name w:val="中等深浅底纹 1 - 强调文字颜色 525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2">
    <w:name w:val="浅色底纹 - 强调文字颜色 525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20">
    <w:name w:val="浅色列表 - 强调文字颜色 525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2">
    <w:name w:val="中等深浅列表 2 - 强调文字颜色 525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2">
    <w:name w:val="中等深浅网格 3 - 强调文字颜色 525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21">
    <w:name w:val="彩色网格 - 强调文字颜色 525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20">
    <w:name w:val="中等深浅网格 2 - 强调文字颜色 525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21">
    <w:name w:val="中等深浅底纹 2 - 强调文字颜色 525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21">
    <w:name w:val="简明型 15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2">
    <w:name w:val="浅色底纹 - 着色 35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32">
    <w:name w:val="网格型 85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2">
    <w:name w:val="浅色底纹 - 强调文字颜色 115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320">
    <w:name w:val="浅色列表 - 强调文字颜色 115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32">
    <w:name w:val="中等深浅网格 3 - 着色 55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32">
    <w:name w:val="中等深浅网格 3 - 着色 15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32">
    <w:name w:val="浅色网格 - 着色 55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320">
    <w:name w:val="彩色底纹 - 着色 553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32">
    <w:name w:val="浅色底纹163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2">
    <w:name w:val="列表型 35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20">
    <w:name w:val="表格主题5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古典型 15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23">
    <w:name w:val="网格型153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2">
    <w:name w:val="浅色底纹 - 着色 453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321">
    <w:name w:val="浅色底纹 - 着色 553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32">
    <w:name w:val="浅色底纹1153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32">
    <w:name w:val="中等深浅底纹 1 - 着色 65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32">
    <w:name w:val="浅色列表 - 着色 653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32">
    <w:name w:val="网格表 4 - 着色 116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32">
    <w:name w:val="网格表 5 深色 - 着色 116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32">
    <w:name w:val="网格表 5 深色 - 着色 51632"/>
    <w:basedOn w:val="a1"/>
    <w:autoRedefine/>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32">
    <w:name w:val="网格表 4 - 着色 1115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32">
    <w:name w:val="网格表 5 深色 - 着色 11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32">
    <w:name w:val="网格表 5 深色 - 着色 51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010">
    <w:name w:val="网格型10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中等深浅列表 219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1">
    <w:name w:val="中等深浅底纹 1 - 强调文字颜色 519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10">
    <w:name w:val="浅色底纹 - 强调文字颜色 519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911">
    <w:name w:val="浅色列表 - 强调文字颜色 519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10">
    <w:name w:val="中等深浅列表 2 - 强调文字颜色 519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1">
    <w:name w:val="中等深浅网格 3 - 强调文字颜色 519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2">
    <w:name w:val="彩色网格 - 强调文字颜色 519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11">
    <w:name w:val="中等深浅网格 2 - 强调文字颜色 519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2">
    <w:name w:val="中等深浅底纹 2 - 强调文字颜色 519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91">
    <w:name w:val="中等深浅底纹 1 - 强调文字颜色 529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10">
    <w:name w:val="浅色底纹 - 强调文字颜色 529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911">
    <w:name w:val="浅色列表 - 强调文字颜色 529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10">
    <w:name w:val="中等深浅列表 2 - 强调文字颜色 529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1">
    <w:name w:val="中等深浅网格 3 - 强调文字颜色 529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2">
    <w:name w:val="彩色网格 - 强调文字颜色 529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11">
    <w:name w:val="中等深浅网格 2 - 强调文字颜色 529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2">
    <w:name w:val="中等深浅底纹 2 - 强调文字颜色 529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911">
    <w:name w:val="简明型 19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91">
    <w:name w:val="浅色底纹 - 着色 39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91">
    <w:name w:val="网格型 89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91">
    <w:name w:val="浅色底纹 - 强调文字颜色 119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910">
    <w:name w:val="浅色列表 - 强调文字颜色 119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91">
    <w:name w:val="中等深浅网格 3 - 着色 59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91">
    <w:name w:val="中等深浅网格 3 - 着色 19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910">
    <w:name w:val="浅色网格 - 着色 59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911">
    <w:name w:val="彩色底纹 - 着色 59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1010">
    <w:name w:val="浅色底纹110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1">
    <w:name w:val="列表型 39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910">
    <w:name w:val="表格主题9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古典型 19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913">
    <w:name w:val="网格型19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浅色底纹 - 着色 49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912">
    <w:name w:val="浅色底纹 - 着色 59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91">
    <w:name w:val="浅色底纹119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91">
    <w:name w:val="中等深浅底纹 1 - 着色 69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91">
    <w:name w:val="浅色列表 - 着色 69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101">
    <w:name w:val="网格表 4 - 着色 1110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01">
    <w:name w:val="网格表 5 深色 - 着色 111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01">
    <w:name w:val="网格表 5 深色 - 着色 511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91">
    <w:name w:val="网格表 4 - 着色 1119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91">
    <w:name w:val="网格表 5 深色 - 着色 1119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91">
    <w:name w:val="网格表 5 深色 - 着色 5119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410">
    <w:name w:val="网格型2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中等深浅列表 211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1">
    <w:name w:val="中等深浅底纹 1 - 强调文字颜色 511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10">
    <w:name w:val="浅色底纹 - 强调文字颜色 511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411">
    <w:name w:val="浅色列表 - 强调文字颜色 511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10">
    <w:name w:val="中等深浅列表 2 - 强调文字颜色 511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1">
    <w:name w:val="中等深浅网格 3 - 强调文字颜色 511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12">
    <w:name w:val="彩色网格 - 强调文字颜色 511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11">
    <w:name w:val="中等深浅网格 2 - 强调文字颜色 511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2">
    <w:name w:val="中等深浅底纹 2 - 强调文字颜色 511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41">
    <w:name w:val="中等深浅底纹 1 - 强调文字颜色 521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10">
    <w:name w:val="浅色底纹 - 强调文字颜色 521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411">
    <w:name w:val="浅色列表 - 强调文字颜色 521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10">
    <w:name w:val="中等深浅列表 2 - 强调文字颜色 521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1">
    <w:name w:val="中等深浅网格 3 - 强调文字颜色 521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12">
    <w:name w:val="彩色网格 - 强调文字颜色 521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11">
    <w:name w:val="中等深浅网格 2 - 强调文字颜色 521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2">
    <w:name w:val="中等深浅底纹 2 - 强调文字颜色 521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410">
    <w:name w:val="简明型 11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41">
    <w:name w:val="浅色底纹 - 着色 314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41">
    <w:name w:val="网格型 81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41">
    <w:name w:val="浅色底纹 - 强调文字颜色 1114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10">
    <w:name w:val="浅色列表 - 强调文字颜色 1114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410">
    <w:name w:val="中等深浅网格 3 - 着色 51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41">
    <w:name w:val="中等深浅网格 3 - 着色 11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413">
    <w:name w:val="浅色网格 - 着色 514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414">
    <w:name w:val="彩色底纹 - 着色 514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410">
    <w:name w:val="浅色底纹124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列表型 31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414">
    <w:name w:val="表格主题1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古典型 11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414">
    <w:name w:val="网格型114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浅色底纹 - 着色 414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415">
    <w:name w:val="浅色底纹 - 着色 514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41">
    <w:name w:val="浅色底纹1114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41">
    <w:name w:val="中等深浅底纹 1 - 着色 614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浅色列表 - 着色 614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41">
    <w:name w:val="网格表 4 - 着色 112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41">
    <w:name w:val="网格表 5 深色 - 着色 112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41">
    <w:name w:val="网格表 5 深色 - 着色 512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41">
    <w:name w:val="网格表 4 - 着色 1111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41">
    <w:name w:val="网格表 5 深色 - 着色 1111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41">
    <w:name w:val="网格表 5 深色 - 着色 5111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410">
    <w:name w:val="网格型3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中等深浅列表 212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1">
    <w:name w:val="中等深浅底纹 1 - 强调文字颜色 512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10">
    <w:name w:val="浅色底纹 - 强调文字颜色 512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411">
    <w:name w:val="浅色列表 - 强调文字颜色 512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10">
    <w:name w:val="中等深浅列表 2 - 强调文字颜色 512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1">
    <w:name w:val="中等深浅网格 3 - 强调文字颜色 512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12">
    <w:name w:val="彩色网格 - 强调文字颜色 512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11">
    <w:name w:val="中等深浅网格 2 - 强调文字颜色 512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2">
    <w:name w:val="中等深浅底纹 2 - 强调文字颜色 512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41">
    <w:name w:val="中等深浅底纹 1 - 强调文字颜色 522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10">
    <w:name w:val="浅色底纹 - 强调文字颜色 522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411">
    <w:name w:val="浅色列表 - 强调文字颜色 522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10">
    <w:name w:val="中等深浅列表 2 - 强调文字颜色 522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1">
    <w:name w:val="中等深浅网格 3 - 强调文字颜色 522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12">
    <w:name w:val="彩色网格 - 强调文字颜色 522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11">
    <w:name w:val="中等深浅网格 2 - 强调文字颜色 522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2">
    <w:name w:val="中等深浅底纹 2 - 强调文字颜色 522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411">
    <w:name w:val="简明型 12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41">
    <w:name w:val="浅色底纹 - 着色 324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41">
    <w:name w:val="网格型 82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41">
    <w:name w:val="浅色底纹 - 强调文字颜色 1124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410">
    <w:name w:val="浅色列表 - 强调文字颜色 1124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410">
    <w:name w:val="中等深浅网格 3 - 着色 52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41">
    <w:name w:val="中等深浅网格 3 - 着色 12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413">
    <w:name w:val="浅色网格 - 着色 524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414">
    <w:name w:val="彩色底纹 - 着色 524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410">
    <w:name w:val="浅色底纹134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41">
    <w:name w:val="列表型 32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411">
    <w:name w:val="表格主题2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
    <w:name w:val="古典型 12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413">
    <w:name w:val="网格型124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浅色底纹 - 着色 424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415">
    <w:name w:val="浅色底纹 - 着色 524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41">
    <w:name w:val="浅色底纹1124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41">
    <w:name w:val="中等深浅底纹 1 - 着色 624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1">
    <w:name w:val="浅色列表 - 着色 624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41">
    <w:name w:val="网格表 4 - 着色 113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41">
    <w:name w:val="网格表 5 深色 - 着色 113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41">
    <w:name w:val="网格表 5 深色 - 着色 513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41">
    <w:name w:val="网格表 4 - 着色 1112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41">
    <w:name w:val="网格表 5 深色 - 着色 1112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41">
    <w:name w:val="网格表 5 深色 - 着色 5112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41">
    <w:name w:val="网格型4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中等深浅列表 213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1">
    <w:name w:val="中等深浅底纹 1 - 强调文字颜色 513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10">
    <w:name w:val="浅色底纹 - 强调文字颜色 513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411">
    <w:name w:val="浅色列表 - 强调文字颜色 513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10">
    <w:name w:val="中等深浅列表 2 - 强调文字颜色 513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1">
    <w:name w:val="中等深浅网格 3 - 强调文字颜色 513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12">
    <w:name w:val="彩色网格 - 强调文字颜色 513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11">
    <w:name w:val="中等深浅网格 2 - 强调文字颜色 513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2">
    <w:name w:val="中等深浅底纹 2 - 强调文字颜色 513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41">
    <w:name w:val="中等深浅底纹 1 - 强调文字颜色 523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10">
    <w:name w:val="浅色底纹 - 强调文字颜色 523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411">
    <w:name w:val="浅色列表 - 强调文字颜色 523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10">
    <w:name w:val="中等深浅列表 2 - 强调文字颜色 523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1">
    <w:name w:val="中等深浅网格 3 - 强调文字颜色 523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12">
    <w:name w:val="彩色网格 - 强调文字颜色 523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11">
    <w:name w:val="中等深浅网格 2 - 强调文字颜色 523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2">
    <w:name w:val="中等深浅底纹 2 - 强调文字颜色 523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411">
    <w:name w:val="简明型 13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41">
    <w:name w:val="浅色底纹 - 着色 334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41">
    <w:name w:val="网格型 83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41">
    <w:name w:val="浅色底纹 - 强调文字颜色 1134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10">
    <w:name w:val="浅色列表 - 强调文字颜色 1134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41">
    <w:name w:val="中等深浅网格 3 - 着色 53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41">
    <w:name w:val="中等深浅网格 3 - 着色 13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410">
    <w:name w:val="浅色网格 - 着色 534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411">
    <w:name w:val="彩色底纹 - 着色 534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410">
    <w:name w:val="浅色底纹144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1">
    <w:name w:val="列表型 33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413">
    <w:name w:val="表格主题3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古典型 13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413">
    <w:name w:val="网格型134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浅色底纹 - 着色 434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412">
    <w:name w:val="浅色底纹 - 着色 534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41">
    <w:name w:val="浅色底纹1134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41">
    <w:name w:val="中等深浅底纹 1 - 着色 634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41">
    <w:name w:val="浅色列表 - 着色 634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41">
    <w:name w:val="网格表 4 - 着色 114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41">
    <w:name w:val="网格表 5 深色 - 着色 114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41">
    <w:name w:val="网格表 5 深色 - 着色 514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41">
    <w:name w:val="网格表 4 - 着色 1113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41">
    <w:name w:val="网格表 5 深色 - 着色 1113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41">
    <w:name w:val="网格表 5 深色 - 着色 511341"/>
    <w:basedOn w:val="a1"/>
    <w:autoRedefine/>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41">
    <w:name w:val="网格型5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中等深浅列表 214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1">
    <w:name w:val="中等深浅底纹 1 - 强调文字颜色 514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10">
    <w:name w:val="浅色底纹 - 强调文字颜色 514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411">
    <w:name w:val="浅色列表 - 强调文字颜色 514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10">
    <w:name w:val="中等深浅列表 2 - 强调文字颜色 514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1">
    <w:name w:val="中等深浅网格 3 - 强调文字颜色 514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12">
    <w:name w:val="彩色网格 - 强调文字颜色 514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11">
    <w:name w:val="中等深浅网格 2 - 强调文字颜色 514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2">
    <w:name w:val="中等深浅底纹 2 - 强调文字颜色 514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41">
    <w:name w:val="中等深浅底纹 1 - 强调文字颜色 524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10">
    <w:name w:val="浅色底纹 - 强调文字颜色 524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411">
    <w:name w:val="浅色列表 - 强调文字颜色 524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10">
    <w:name w:val="中等深浅列表 2 - 强调文字颜色 524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1">
    <w:name w:val="中等深浅网格 3 - 强调文字颜色 524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12">
    <w:name w:val="彩色网格 - 强调文字颜色 524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11">
    <w:name w:val="中等深浅网格 2 - 强调文字颜色 524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2">
    <w:name w:val="中等深浅底纹 2 - 强调文字颜色 524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411">
    <w:name w:val="简明型 14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41">
    <w:name w:val="浅色底纹 - 着色 344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41">
    <w:name w:val="网格型 84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41">
    <w:name w:val="浅色底纹 - 强调文字颜色 1144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410">
    <w:name w:val="浅色列表 - 强调文字颜色 1144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41">
    <w:name w:val="中等深浅网格 3 - 着色 54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41">
    <w:name w:val="中等深浅网格 3 - 着色 14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410">
    <w:name w:val="浅色网格 - 着色 544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411">
    <w:name w:val="彩色底纹 - 着色 544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410">
    <w:name w:val="浅色底纹154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41">
    <w:name w:val="列表型 34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0">
    <w:name w:val="表格主题4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古典型 14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413">
    <w:name w:val="网格型144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浅色底纹 - 着色 444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412">
    <w:name w:val="浅色底纹 - 着色 544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41">
    <w:name w:val="浅色底纹1144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41">
    <w:name w:val="中等深浅底纹 1 - 着色 644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41">
    <w:name w:val="浅色列表 - 着色 644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41">
    <w:name w:val="网格表 4 - 着色 115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41">
    <w:name w:val="网格表 5 深色 - 着色 115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41">
    <w:name w:val="网格表 5 深色 - 着色 515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41">
    <w:name w:val="网格表 4 - 着色 1114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41">
    <w:name w:val="网格表 5 深色 - 着色 1114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41">
    <w:name w:val="网格表 5 深色 - 着色 5114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41">
    <w:name w:val="网格型6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中等深浅列表 215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1">
    <w:name w:val="中等深浅底纹 1 - 强调文字颜色 515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10">
    <w:name w:val="浅色底纹 - 强调文字颜色 515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411">
    <w:name w:val="浅色列表 - 强调文字颜色 515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10">
    <w:name w:val="中等深浅列表 2 - 强调文字颜色 515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1">
    <w:name w:val="中等深浅网格 3 - 强调文字颜色 515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2">
    <w:name w:val="彩色网格 - 强调文字颜色 515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11">
    <w:name w:val="中等深浅网格 2 - 强调文字颜色 515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2">
    <w:name w:val="中等深浅底纹 2 - 强调文字颜色 515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41">
    <w:name w:val="中等深浅底纹 1 - 强调文字颜色 525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10">
    <w:name w:val="浅色底纹 - 强调文字颜色 525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411">
    <w:name w:val="浅色列表 - 强调文字颜色 525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10">
    <w:name w:val="中等深浅列表 2 - 强调文字颜色 525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1">
    <w:name w:val="中等深浅网格 3 - 强调文字颜色 525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2">
    <w:name w:val="彩色网格 - 强调文字颜色 525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11">
    <w:name w:val="中等深浅网格 2 - 强调文字颜色 525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2">
    <w:name w:val="中等深浅底纹 2 - 强调文字颜色 525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411">
    <w:name w:val="简明型 15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41">
    <w:name w:val="浅色底纹 - 着色 354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41">
    <w:name w:val="网格型 85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41">
    <w:name w:val="浅色底纹 - 强调文字颜色 1154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410">
    <w:name w:val="浅色列表 - 强调文字颜色 1154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41">
    <w:name w:val="中等深浅网格 3 - 着色 55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41">
    <w:name w:val="中等深浅网格 3 - 着色 15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410">
    <w:name w:val="浅色网格 - 着色 554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411">
    <w:name w:val="彩色底纹 - 着色 554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41">
    <w:name w:val="浅色底纹164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1">
    <w:name w:val="列表型 35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410">
    <w:name w:val="表格主题5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2">
    <w:name w:val="古典型 15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413">
    <w:name w:val="网格型154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1">
    <w:name w:val="浅色底纹 - 着色 454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412">
    <w:name w:val="浅色底纹 - 着色 554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41">
    <w:name w:val="浅色底纹1154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41">
    <w:name w:val="中等深浅底纹 1 - 着色 654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41">
    <w:name w:val="浅色列表 - 着色 654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41">
    <w:name w:val="网格表 4 - 着色 116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41">
    <w:name w:val="网格表 5 深色 - 着色 116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41">
    <w:name w:val="网格表 5 深色 - 着色 516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41">
    <w:name w:val="网格表 4 - 着色 1115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41">
    <w:name w:val="网格表 5 深色 - 着色 1115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41">
    <w:name w:val="网格表 5 深色 - 着色 5115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01">
    <w:name w:val="网格型20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中等深浅列表 2110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1">
    <w:name w:val="中等深浅底纹 1 - 强调文字颜色 5110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10">
    <w:name w:val="浅色底纹 - 强调文字颜色 5110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011">
    <w:name w:val="浅色列表 - 强调文字颜色 5110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10">
    <w:name w:val="中等深浅列表 2 - 强调文字颜色 5110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1">
    <w:name w:val="中等深浅网格 3 - 强调文字颜色 5110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12">
    <w:name w:val="彩色网格 - 强调文字颜色 5110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1">
    <w:name w:val="中等深浅网格 2 - 强调文字颜色 5110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12">
    <w:name w:val="中等深浅底纹 2 - 强调文字颜色 5110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01">
    <w:name w:val="中等深浅底纹 1 - 强调文字颜色 5210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10">
    <w:name w:val="浅色底纹 - 强调文字颜色 5210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011">
    <w:name w:val="浅色列表 - 强调文字颜色 5210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10">
    <w:name w:val="中等深浅列表 2 - 强调文字颜色 5210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1">
    <w:name w:val="中等深浅网格 3 - 强调文字颜色 5210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12">
    <w:name w:val="彩色网格 - 强调文字颜色 5210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1">
    <w:name w:val="中等深浅网格 2 - 强调文字颜色 52101"/>
    <w:autoRedefine/>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12">
    <w:name w:val="中等深浅底纹 2 - 强调文字颜色 5210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011">
    <w:name w:val="简明型 110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01">
    <w:name w:val="浅色底纹 - 着色 310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01">
    <w:name w:val="网格型 810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010">
    <w:name w:val="浅色底纹 - 强调文字颜色 1110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11">
    <w:name w:val="浅色列表 - 强调文字颜色 1110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01">
    <w:name w:val="中等深浅网格 3 - 着色 510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01">
    <w:name w:val="中等深浅网格 3 - 着色 110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010">
    <w:name w:val="浅色网格 - 着色 510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011">
    <w:name w:val="彩色底纹 - 着色 510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01">
    <w:name w:val="浅色底纹120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1">
    <w:name w:val="列表型 310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011">
    <w:name w:val="表格主题10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古典型 110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013">
    <w:name w:val="网格型110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浅色底纹 - 着色 410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012">
    <w:name w:val="浅色底纹 - 着色 510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1">
    <w:name w:val="浅色底纹1110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1">
    <w:name w:val="中等深浅底纹 1 - 着色 610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01">
    <w:name w:val="浅色列表 - 着色 610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01">
    <w:name w:val="网格表 4 - 着色 1120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01">
    <w:name w:val="网格表 5 深色 - 着色 112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01">
    <w:name w:val="网格表 5 深色 - 着色 512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01">
    <w:name w:val="网格表 4 - 着色 11110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01">
    <w:name w:val="网格表 5 深色 - 着色 1111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01">
    <w:name w:val="网格表 5 深色 - 着色 5111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510">
    <w:name w:val="网格型25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中等深浅列表 2115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1">
    <w:name w:val="中等深浅底纹 1 - 强调文字颜色 511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10">
    <w:name w:val="浅色底纹 - 强调文字颜色 511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511">
    <w:name w:val="浅色列表 - 强调文字颜色 511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10">
    <w:name w:val="中等深浅列表 2 - 强调文字颜色 511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1">
    <w:name w:val="中等深浅网格 3 - 强调文字颜色 511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12">
    <w:name w:val="彩色网格 - 强调文字颜色 511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11">
    <w:name w:val="中等深浅网格 2 - 强调文字颜色 511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2">
    <w:name w:val="中等深浅底纹 2 - 强调文字颜色 511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51">
    <w:name w:val="中等深浅底纹 1 - 强调文字颜色 521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10">
    <w:name w:val="浅色底纹 - 强调文字颜色 521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511">
    <w:name w:val="浅色列表 - 强调文字颜色 521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10">
    <w:name w:val="中等深浅列表 2 - 强调文字颜色 521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1">
    <w:name w:val="中等深浅网格 3 - 强调文字颜色 521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12">
    <w:name w:val="彩色网格 - 强调文字颜色 521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11">
    <w:name w:val="中等深浅网格 2 - 强调文字颜色 521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2">
    <w:name w:val="中等深浅底纹 2 - 强调文字颜色 521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510">
    <w:name w:val="简明型 115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51">
    <w:name w:val="浅色底纹 - 着色 315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51">
    <w:name w:val="网格型 815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51">
    <w:name w:val="浅色底纹 - 强调文字颜色 1115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10">
    <w:name w:val="浅色列表 - 强调文字颜色 1115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510">
    <w:name w:val="中等深浅网格 3 - 着色 515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51">
    <w:name w:val="中等深浅网格 3 - 着色 115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513">
    <w:name w:val="浅色网格 - 着色 515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514">
    <w:name w:val="彩色底纹 - 着色 515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510">
    <w:name w:val="浅色底纹125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1">
    <w:name w:val="列表型 315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514">
    <w:name w:val="表格主题15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古典型 115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514">
    <w:name w:val="网格型115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浅色底纹 - 着色 415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515">
    <w:name w:val="浅色底纹 - 着色 515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51">
    <w:name w:val="浅色底纹1115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51">
    <w:name w:val="中等深浅底纹 1 - 着色 615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51">
    <w:name w:val="浅色列表 - 着色 615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51">
    <w:name w:val="网格表 4 - 着色 1125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51">
    <w:name w:val="网格表 5 深色 - 着色 1125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51">
    <w:name w:val="网格表 5 深色 - 着色 5125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51">
    <w:name w:val="网格表 4 - 着色 11115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51">
    <w:name w:val="网格表 5 深色 - 着色 11115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51">
    <w:name w:val="网格表 5 深色 - 着色 51115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510">
    <w:name w:val="网格型35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中等深浅列表 2125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1">
    <w:name w:val="中等深浅底纹 1 - 强调文字颜色 512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10">
    <w:name w:val="浅色底纹 - 强调文字颜色 512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511">
    <w:name w:val="浅色列表 - 强调文字颜色 512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10">
    <w:name w:val="中等深浅列表 2 - 强调文字颜色 512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1">
    <w:name w:val="中等深浅网格 3 - 强调文字颜色 512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12">
    <w:name w:val="彩色网格 - 强调文字颜色 512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11">
    <w:name w:val="中等深浅网格 2 - 强调文字颜色 512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2">
    <w:name w:val="中等深浅底纹 2 - 强调文字颜色 512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51">
    <w:name w:val="中等深浅底纹 1 - 强调文字颜色 522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10">
    <w:name w:val="浅色底纹 - 强调文字颜色 522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511">
    <w:name w:val="浅色列表 - 强调文字颜色 522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10">
    <w:name w:val="中等深浅列表 2 - 强调文字颜色 522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1">
    <w:name w:val="中等深浅网格 3 - 强调文字颜色 522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12">
    <w:name w:val="彩色网格 - 强调文字颜色 522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11">
    <w:name w:val="中等深浅网格 2 - 强调文字颜色 522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2">
    <w:name w:val="中等深浅底纹 2 - 强调文字颜色 522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511">
    <w:name w:val="简明型 125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51">
    <w:name w:val="浅色底纹 - 着色 325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51">
    <w:name w:val="网格型 825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51">
    <w:name w:val="浅色底纹 - 强调文字颜色 1125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510">
    <w:name w:val="浅色列表 - 强调文字颜色 1125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510">
    <w:name w:val="中等深浅网格 3 - 着色 525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51">
    <w:name w:val="中等深浅网格 3 - 着色 125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513">
    <w:name w:val="浅色网格 - 着色 525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514">
    <w:name w:val="彩色底纹 - 着色 525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1b">
    <w:name w:val="未处理的提及1"/>
    <w:basedOn w:val="a0"/>
    <w:uiPriority w:val="99"/>
    <w:semiHidden/>
    <w:unhideWhenUsed/>
    <w:qFormat/>
    <w:rPr>
      <w:color w:val="605E5C"/>
      <w:shd w:val="clear" w:color="auto" w:fill="E1DFDD"/>
    </w:rPr>
  </w:style>
  <w:style w:type="table" w:customStyle="1" w:styleId="3-118">
    <w:name w:val="中等深浅网格 3 - 强调文字颜色 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character" w:customStyle="1" w:styleId="afb">
    <w:name w:val="副标题 字符"/>
    <w:basedOn w:val="a0"/>
    <w:link w:val="afa"/>
    <w:qFormat/>
    <w:rPr>
      <w:rFonts w:asciiTheme="minorHAnsi" w:eastAsiaTheme="minorEastAsia" w:hAnsiTheme="minorHAnsi" w:cstheme="minorBidi"/>
      <w:b/>
      <w:bCs/>
      <w:kern w:val="28"/>
      <w:sz w:val="32"/>
      <w:szCs w:val="32"/>
    </w:rPr>
  </w:style>
  <w:style w:type="character" w:customStyle="1" w:styleId="Char">
    <w:name w:val="列出段落 Char"/>
    <w:link w:val="13"/>
    <w:uiPriority w:val="34"/>
    <w:qFormat/>
    <w:locked/>
    <w:rPr>
      <w:kern w:val="2"/>
      <w:sz w:val="21"/>
      <w:szCs w:val="24"/>
    </w:rPr>
  </w:style>
  <w:style w:type="paragraph" w:customStyle="1" w:styleId="continue-read-break">
    <w:name w:val="continue-read-break"/>
    <w:basedOn w:val="a"/>
    <w:qFormat/>
    <w:pPr>
      <w:widowControl/>
      <w:spacing w:before="100" w:beforeAutospacing="1" w:after="100" w:afterAutospacing="1" w:line="240" w:lineRule="auto"/>
      <w:ind w:firstLineChars="0" w:firstLine="0"/>
      <w:jc w:val="left"/>
    </w:pPr>
    <w:rPr>
      <w:rFonts w:ascii="宋体" w:hAnsi="宋体" w:cs="宋体"/>
      <w:kern w:val="0"/>
      <w:sz w:val="24"/>
    </w:rPr>
  </w:style>
  <w:style w:type="character" w:customStyle="1" w:styleId="28">
    <w:name w:val="未处理的提及2"/>
    <w:basedOn w:val="a0"/>
    <w:uiPriority w:val="99"/>
    <w:semiHidden/>
    <w:unhideWhenUsed/>
    <w:qFormat/>
    <w:rPr>
      <w:color w:val="605E5C"/>
      <w:shd w:val="clear" w:color="auto" w:fill="E1DFDD"/>
    </w:rPr>
  </w:style>
  <w:style w:type="paragraph" w:customStyle="1" w:styleId="z-11">
    <w:name w:val="z-窗体顶端11"/>
    <w:basedOn w:val="a"/>
    <w:next w:val="a"/>
    <w:autoRedefine/>
    <w:qFormat/>
    <w:pPr>
      <w:widowControl/>
      <w:pBdr>
        <w:bottom w:val="single" w:sz="6" w:space="1" w:color="auto"/>
      </w:pBdr>
      <w:jc w:val="center"/>
    </w:pPr>
    <w:rPr>
      <w:rFonts w:ascii="Arial" w:hAnsi="Arial" w:cs="Arial"/>
      <w:vanish/>
      <w:kern w:val="0"/>
      <w:sz w:val="16"/>
      <w:szCs w:val="16"/>
    </w:rPr>
  </w:style>
  <w:style w:type="paragraph" w:customStyle="1" w:styleId="TOC11">
    <w:name w:val="TOC 标题11"/>
    <w:basedOn w:val="1"/>
    <w:next w:val="a"/>
    <w:autoRedefine/>
    <w:uiPriority w:val="39"/>
    <w:unhideWhenUsed/>
    <w:qFormat/>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character" w:customStyle="1" w:styleId="11a">
    <w:name w:val="不明显强调11"/>
    <w:basedOn w:val="a0"/>
    <w:autoRedefine/>
    <w:uiPriority w:val="19"/>
    <w:qFormat/>
    <w:rPr>
      <w:i/>
      <w:iCs/>
      <w:color w:val="7F7F7F" w:themeColor="text1" w:themeTint="80"/>
    </w:rPr>
  </w:style>
  <w:style w:type="character" w:customStyle="1" w:styleId="3a">
    <w:name w:val="未处理的提及3"/>
    <w:basedOn w:val="a0"/>
    <w:uiPriority w:val="99"/>
    <w:semiHidden/>
    <w:unhideWhenUsed/>
    <w:qFormat/>
    <w:rPr>
      <w:color w:val="605E5C"/>
      <w:shd w:val="clear" w:color="auto" w:fill="E1DFDD"/>
    </w:rPr>
  </w:style>
  <w:style w:type="character" w:customStyle="1" w:styleId="47">
    <w:name w:val="未处理的提及4"/>
    <w:basedOn w:val="a0"/>
    <w:uiPriority w:val="99"/>
    <w:semiHidden/>
    <w:unhideWhenUsed/>
    <w:qFormat/>
    <w:rPr>
      <w:color w:val="605E5C"/>
      <w:shd w:val="clear" w:color="auto" w:fill="E1DFDD"/>
    </w:rPr>
  </w:style>
  <w:style w:type="paragraph" w:customStyle="1" w:styleId="3b">
    <w:name w:val="修订3"/>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chart" Target="charts/chart8.xml"/><Relationship Id="rId21" Type="http://schemas.openxmlformats.org/officeDocument/2006/relationships/footer" Target="footer3.xml"/><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chart" Target="charts/chart32.xml"/><Relationship Id="rId68" Type="http://schemas.openxmlformats.org/officeDocument/2006/relationships/header" Target="header11.xml"/><Relationship Id="rId76" Type="http://schemas.openxmlformats.org/officeDocument/2006/relationships/footer" Target="footer11.xml"/><Relationship Id="rId84" Type="http://schemas.openxmlformats.org/officeDocument/2006/relationships/footer" Target="footer14.xml"/><Relationship Id="rId7" Type="http://schemas.openxmlformats.org/officeDocument/2006/relationships/customXml" Target="../customXml/item7.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6.xml"/><Relationship Id="rId11" Type="http://schemas.openxmlformats.org/officeDocument/2006/relationships/styles" Target="styles.xml"/><Relationship Id="rId24" Type="http://schemas.openxmlformats.org/officeDocument/2006/relationships/footer" Target="footer4.xm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chart" Target="charts/chart35.xml"/><Relationship Id="rId74" Type="http://schemas.openxmlformats.org/officeDocument/2006/relationships/header" Target="header14.xml"/><Relationship Id="rId79" Type="http://schemas.openxmlformats.org/officeDocument/2006/relationships/header" Target="header18.xm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hart" Target="charts/chart30.xml"/><Relationship Id="rId82" Type="http://schemas.openxmlformats.org/officeDocument/2006/relationships/header" Target="header20.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footer" Target="footer8.xml"/><Relationship Id="rId77" Type="http://schemas.openxmlformats.org/officeDocument/2006/relationships/header" Target="header16.xml"/><Relationship Id="rId8" Type="http://schemas.openxmlformats.org/officeDocument/2006/relationships/customXml" Target="../customXml/item8.xml"/><Relationship Id="rId51" Type="http://schemas.openxmlformats.org/officeDocument/2006/relationships/chart" Target="charts/chart20.xml"/><Relationship Id="rId72" Type="http://schemas.openxmlformats.org/officeDocument/2006/relationships/footer" Target="footer10.xml"/><Relationship Id="rId80" Type="http://schemas.openxmlformats.org/officeDocument/2006/relationships/footer" Target="footer12.xml"/><Relationship Id="rId85"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header" Target="header10.xml"/><Relationship Id="rId20" Type="http://schemas.openxmlformats.org/officeDocument/2006/relationships/header" Target="header3.xml"/><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footer" Target="footer9.xml"/><Relationship Id="rId75" Type="http://schemas.openxmlformats.org/officeDocument/2006/relationships/header" Target="header15.xml"/><Relationship Id="rId83" Type="http://schemas.openxmlformats.org/officeDocument/2006/relationships/footer" Target="footer1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numbering" Target="numbering.xml"/><Relationship Id="rId31" Type="http://schemas.openxmlformats.org/officeDocument/2006/relationships/header" Target="header9.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header" Target="header13.xml"/><Relationship Id="rId78" Type="http://schemas.openxmlformats.org/officeDocument/2006/relationships/header" Target="header17.xml"/><Relationship Id="rId81" Type="http://schemas.openxmlformats.org/officeDocument/2006/relationships/header" Target="header19.xml"/><Relationship Id="rId86" Type="http://schemas.openxmlformats.org/officeDocument/2006/relationships/footer" Target="footer15.xml"/></Relationships>
</file>

<file path=word/_rels/footer1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openxmlformats.org/officeDocument/2006/relationships/image" Target="../media/image3.png"/><Relationship Id="rId1" Type="http://schemas.openxmlformats.org/officeDocument/2006/relationships/themeOverride" Target="../theme/themeOverrid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openxmlformats.org/officeDocument/2006/relationships/image" Target="../media/image3.png"/><Relationship Id="rId1" Type="http://schemas.openxmlformats.org/officeDocument/2006/relationships/themeOverride" Target="../theme/themeOverrid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openxmlformats.org/officeDocument/2006/relationships/image" Target="../media/image3.png"/><Relationship Id="rId1" Type="http://schemas.openxmlformats.org/officeDocument/2006/relationships/themeOverride" Target="../theme/themeOverride13.xml"/><Relationship Id="rId4"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openxmlformats.org/officeDocument/2006/relationships/image" Target="../media/image3.png"/><Relationship Id="rId1" Type="http://schemas.openxmlformats.org/officeDocument/2006/relationships/themeOverride" Target="../theme/themeOverrid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openxmlformats.org/officeDocument/2006/relationships/image" Target="../media/image3.png"/><Relationship Id="rId1" Type="http://schemas.openxmlformats.org/officeDocument/2006/relationships/themeOverride" Target="../theme/themeOverride15.xml"/><Relationship Id="rId4" Type="http://schemas.openxmlformats.org/officeDocument/2006/relationships/chartUserShapes" Target="../drawings/drawing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openxmlformats.org/officeDocument/2006/relationships/image" Target="../media/image7.jpeg"/><Relationship Id="rId1" Type="http://schemas.openxmlformats.org/officeDocument/2006/relationships/themeOverride" Target="../theme/themeOverride16.xml"/><Relationship Id="rId4" Type="http://schemas.openxmlformats.org/officeDocument/2006/relationships/chartUserShapes" Target="../drawings/drawing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openxmlformats.org/officeDocument/2006/relationships/image" Target="../media/image3.png"/><Relationship Id="rId1" Type="http://schemas.openxmlformats.org/officeDocument/2006/relationships/themeOverride" Target="../theme/themeOverride17.xml"/><Relationship Id="rId4" Type="http://schemas.openxmlformats.org/officeDocument/2006/relationships/chartUserShapes" Target="../drawings/drawing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openxmlformats.org/officeDocument/2006/relationships/image" Target="../media/image3.png"/><Relationship Id="rId1" Type="http://schemas.openxmlformats.org/officeDocument/2006/relationships/themeOverride" Target="../theme/themeOverride18.xml"/><Relationship Id="rId4" Type="http://schemas.openxmlformats.org/officeDocument/2006/relationships/chartUserShapes" Target="../drawings/drawing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openxmlformats.org/officeDocument/2006/relationships/image" Target="../media/image7.jpeg"/><Relationship Id="rId1" Type="http://schemas.openxmlformats.org/officeDocument/2006/relationships/themeOverride" Target="../theme/themeOverride19.xml"/><Relationship Id="rId4" Type="http://schemas.openxmlformats.org/officeDocument/2006/relationships/chartUserShapes" Target="../drawings/drawing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openxmlformats.org/officeDocument/2006/relationships/image" Target="../media/image3.png"/><Relationship Id="rId1" Type="http://schemas.openxmlformats.org/officeDocument/2006/relationships/themeOverride" Target="../theme/themeOverride20.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openxmlformats.org/officeDocument/2006/relationships/image" Target="../media/image3.png"/><Relationship Id="rId1" Type="http://schemas.openxmlformats.org/officeDocument/2006/relationships/themeOverride" Target="../theme/themeOverrid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openxmlformats.org/officeDocument/2006/relationships/image" Target="../media/image3.png"/><Relationship Id="rId1" Type="http://schemas.openxmlformats.org/officeDocument/2006/relationships/themeOverride" Target="../theme/themeOverrid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openxmlformats.org/officeDocument/2006/relationships/image" Target="../media/image3.png"/><Relationship Id="rId1" Type="http://schemas.openxmlformats.org/officeDocument/2006/relationships/themeOverride" Target="../theme/themeOverrid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openxmlformats.org/officeDocument/2006/relationships/image" Target="../media/image3.png"/><Relationship Id="rId1" Type="http://schemas.openxmlformats.org/officeDocument/2006/relationships/themeOverride" Target="../theme/themeOverrid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openxmlformats.org/officeDocument/2006/relationships/image" Target="../media/image3.png"/><Relationship Id="rId1" Type="http://schemas.openxmlformats.org/officeDocument/2006/relationships/themeOverride" Target="../theme/themeOverrid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openxmlformats.org/officeDocument/2006/relationships/image" Target="../media/image3.png"/><Relationship Id="rId1" Type="http://schemas.openxmlformats.org/officeDocument/2006/relationships/themeOverride" Target="../theme/themeOverrid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openxmlformats.org/officeDocument/2006/relationships/image" Target="../media/image3.png"/><Relationship Id="rId1" Type="http://schemas.openxmlformats.org/officeDocument/2006/relationships/themeOverride" Target="../theme/themeOverrid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openxmlformats.org/officeDocument/2006/relationships/image" Target="../media/image3.png"/><Relationship Id="rId1" Type="http://schemas.openxmlformats.org/officeDocument/2006/relationships/themeOverride" Target="../theme/themeOverrid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openxmlformats.org/officeDocument/2006/relationships/image" Target="../media/image3.png"/><Relationship Id="rId1" Type="http://schemas.openxmlformats.org/officeDocument/2006/relationships/themeOverride" Target="../theme/themeOverride29.xml"/><Relationship Id="rId4" Type="http://schemas.openxmlformats.org/officeDocument/2006/relationships/chartUserShapes" Target="../drawings/drawing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3.png"/><Relationship Id="rId1" Type="http://schemas.openxmlformats.org/officeDocument/2006/relationships/themeOverride" Target="../theme/themeOverrid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openxmlformats.org/officeDocument/2006/relationships/image" Target="../media/image3.png"/><Relationship Id="rId1" Type="http://schemas.openxmlformats.org/officeDocument/2006/relationships/themeOverride" Target="../theme/themeOverride30.xml"/><Relationship Id="rId4" Type="http://schemas.openxmlformats.org/officeDocument/2006/relationships/chartUserShapes" Target="../drawings/drawing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openxmlformats.org/officeDocument/2006/relationships/image" Target="../media/image3.png"/><Relationship Id="rId1" Type="http://schemas.openxmlformats.org/officeDocument/2006/relationships/themeOverride" Target="../theme/themeOverride31.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openxmlformats.org/officeDocument/2006/relationships/image" Target="../media/image3.png"/><Relationship Id="rId1" Type="http://schemas.openxmlformats.org/officeDocument/2006/relationships/themeOverride" Target="../theme/themeOverride32.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openxmlformats.org/officeDocument/2006/relationships/image" Target="../media/image3.png"/><Relationship Id="rId1" Type="http://schemas.openxmlformats.org/officeDocument/2006/relationships/themeOverride" Target="../theme/themeOverride33.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openxmlformats.org/officeDocument/2006/relationships/image" Target="../media/image3.png"/><Relationship Id="rId1" Type="http://schemas.openxmlformats.org/officeDocument/2006/relationships/themeOverride" Target="../theme/themeOverride34.xml"/><Relationship Id="rId4" Type="http://schemas.openxmlformats.org/officeDocument/2006/relationships/chartUserShapes" Target="../drawings/drawing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openxmlformats.org/officeDocument/2006/relationships/image" Target="../media/image3.png"/><Relationship Id="rId1" Type="http://schemas.openxmlformats.org/officeDocument/2006/relationships/themeOverride" Target="../theme/themeOverride35.xml"/><Relationship Id="rId4" Type="http://schemas.openxmlformats.org/officeDocument/2006/relationships/chartUserShapes" Target="../drawings/drawing35.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3.png"/><Relationship Id="rId1" Type="http://schemas.openxmlformats.org/officeDocument/2006/relationships/themeOverride" Target="../theme/themeOverrid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3.png"/><Relationship Id="rId1" Type="http://schemas.openxmlformats.org/officeDocument/2006/relationships/themeOverride" Target="../theme/themeOverrid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Tahoma" panose="020B0604030504040204" pitchFamily="2" charset="0"/>
                <a:cs typeface="Times New Roman" panose="02020603050405020304" charset="0"/>
              </a:rPr>
              <a:t>IPv6</a:t>
            </a:r>
            <a:r>
              <a:rPr lang="zh-CN" altLang="zh-CN" sz="1000" b="1" i="0" baseline="0">
                <a:effectLst/>
                <a:latin typeface="Times New Roman" panose="02020603050405020304" charset="0"/>
                <a:ea typeface="+mj-ea"/>
                <a:cs typeface="Times New Roman" panose="02020603050405020304" charset="0"/>
              </a:rPr>
              <a:t>地址数量</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3627901758394196"/>
          <c:h val="0.57212007439467405"/>
        </c:manualLayout>
      </c:layout>
      <c:barChart>
        <c:barDir val="col"/>
        <c:grouping val="clustered"/>
        <c:varyColors val="0"/>
        <c:ser>
          <c:idx val="0"/>
          <c:order val="0"/>
          <c:tx>
            <c:strRef>
              <c:f>Sheet1!$B$1</c:f>
              <c:strCache>
                <c:ptCount val="1"/>
                <c:pt idx="0">
                  <c:v>IPv6地址数量（块/32）</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0;[Red]0</c:formatCode>
                <c:ptCount val="5"/>
                <c:pt idx="0">
                  <c:v>63079</c:v>
                </c:pt>
                <c:pt idx="1">
                  <c:v>67369</c:v>
                </c:pt>
                <c:pt idx="2">
                  <c:v>68055</c:v>
                </c:pt>
                <c:pt idx="3">
                  <c:v>68042</c:v>
                </c:pt>
                <c:pt idx="4">
                  <c:v>69080</c:v>
                </c:pt>
              </c:numCache>
            </c:numRef>
          </c:val>
          <c:extLst>
            <c:ext xmlns:c16="http://schemas.microsoft.com/office/drawing/2014/chart" uri="{C3380CC4-5D6E-409C-BE32-E72D297353CC}">
              <c16:uniqueId val="{00000000-952C-44C7-B396-D44EA8B9568F}"/>
            </c:ext>
          </c:extLst>
        </c:ser>
        <c:dLbls>
          <c:showLegendKey val="0"/>
          <c:showVal val="1"/>
          <c:showCatName val="0"/>
          <c:showSerName val="0"/>
          <c:showPercent val="0"/>
          <c:showBubbleSize val="0"/>
        </c:dLbls>
        <c:gapWidth val="150"/>
        <c:axId val="797751840"/>
        <c:axId val="797740080"/>
      </c:barChart>
      <c:catAx>
        <c:axId val="79775184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97740080"/>
        <c:crosses val="autoZero"/>
        <c:auto val="1"/>
        <c:lblAlgn val="ctr"/>
        <c:lblOffset val="100"/>
        <c:noMultiLvlLbl val="0"/>
      </c:catAx>
      <c:valAx>
        <c:axId val="797740080"/>
        <c:scaling>
          <c:orientation val="minMax"/>
          <c:max val="80000"/>
          <c:min val="0"/>
        </c:scaling>
        <c:delete val="0"/>
        <c:axPos val="l"/>
        <c:numFmt formatCode="0;[Red]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97751840"/>
        <c:crosses val="autoZero"/>
        <c:crossBetween val="between"/>
        <c:majorUnit val="200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zh-CN" sz="1000" b="1" i="0" u="none" strike="noStrike" baseline="0">
                <a:effectLst/>
              </a:rPr>
              <a:t>网民人均每周上网时长</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2591632328342401"/>
          <c:h val="0.57212007439467405"/>
        </c:manualLayout>
      </c:layout>
      <c:barChart>
        <c:barDir val="col"/>
        <c:grouping val="clustered"/>
        <c:varyColors val="0"/>
        <c:ser>
          <c:idx val="0"/>
          <c:order val="0"/>
          <c:tx>
            <c:strRef>
              <c:f>Sheet1!$B$1</c:f>
              <c:strCache>
                <c:ptCount val="1"/>
                <c:pt idx="0">
                  <c:v>网民人均每周上网时长（小时）</c:v>
                </c:pt>
              </c:strCache>
            </c:strRef>
          </c:tx>
          <c:spPr>
            <a:solidFill>
              <a:srgbClr val="5B9BD5"/>
            </a:solidFill>
            <a:ln w="12700" cap="flat" cmpd="sng" algn="ctr">
              <a:noFill/>
              <a:prstDash val="solid"/>
              <a:round/>
            </a:ln>
          </c:spPr>
          <c:invertIfNegative val="0"/>
          <c:dLbls>
            <c:numFmt formatCode="0.0_);[Red]\(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0.0_ </c:formatCode>
                <c:ptCount val="5"/>
                <c:pt idx="0">
                  <c:v>29.5</c:v>
                </c:pt>
                <c:pt idx="1">
                  <c:v>26.7</c:v>
                </c:pt>
                <c:pt idx="2">
                  <c:v>29.1</c:v>
                </c:pt>
                <c:pt idx="3">
                  <c:v>26.1</c:v>
                </c:pt>
                <c:pt idx="4">
                  <c:v>29</c:v>
                </c:pt>
              </c:numCache>
            </c:numRef>
          </c:val>
          <c:extLst>
            <c:ext xmlns:c16="http://schemas.microsoft.com/office/drawing/2014/chart" uri="{C3380CC4-5D6E-409C-BE32-E72D297353CC}">
              <c16:uniqueId val="{00000000-D045-4691-A44C-12D065907CFD}"/>
            </c:ext>
          </c:extLst>
        </c:ser>
        <c:dLbls>
          <c:showLegendKey val="0"/>
          <c:showVal val="1"/>
          <c:showCatName val="0"/>
          <c:showSerName val="0"/>
          <c:showPercent val="0"/>
          <c:showBubbleSize val="0"/>
        </c:dLbls>
        <c:gapWidth val="150"/>
        <c:axId val="813832896"/>
        <c:axId val="813803216"/>
      </c:barChart>
      <c:catAx>
        <c:axId val="81383289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03216"/>
        <c:crosses val="autoZero"/>
        <c:auto val="1"/>
        <c:lblAlgn val="ctr"/>
        <c:lblOffset val="100"/>
        <c:noMultiLvlLbl val="0"/>
      </c:catAx>
      <c:valAx>
        <c:axId val="813803216"/>
        <c:scaling>
          <c:orientation val="minMax"/>
          <c:max val="35"/>
          <c:min val="0"/>
        </c:scaling>
        <c:delete val="0"/>
        <c:axPos val="l"/>
        <c:numFmt formatCode="0_ "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32896"/>
        <c:crosses val="autoZero"/>
        <c:crossBetween val="between"/>
        <c:majorUnit val="7"/>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2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zh-CN" altLang="en-US" sz="1000">
                <a:latin typeface="+mn-ea"/>
                <a:ea typeface="+mn-ea"/>
              </a:rPr>
              <a:t>五类应用使用时段分布</a:t>
            </a:r>
          </a:p>
        </c:rich>
      </c:tx>
      <c:layout>
        <c:manualLayout>
          <c:xMode val="edge"/>
          <c:yMode val="edge"/>
          <c:x val="0.375918814942653"/>
          <c:y val="2.06185567010309E-2"/>
        </c:manualLayout>
      </c:layout>
      <c:overlay val="0"/>
    </c:title>
    <c:autoTitleDeleted val="0"/>
    <c:plotArea>
      <c:layout>
        <c:manualLayout>
          <c:layoutTarget val="inner"/>
          <c:xMode val="edge"/>
          <c:yMode val="edge"/>
          <c:x val="7.1940639269406401E-2"/>
          <c:y val="0.110547663500825"/>
          <c:w val="0.90064843778090098"/>
          <c:h val="0.67013583353628303"/>
        </c:manualLayout>
      </c:layout>
      <c:lineChart>
        <c:grouping val="standard"/>
        <c:varyColors val="0"/>
        <c:ser>
          <c:idx val="0"/>
          <c:order val="0"/>
          <c:tx>
            <c:strRef>
              <c:f>Sheet1!$B$1</c:f>
              <c:strCache>
                <c:ptCount val="1"/>
                <c:pt idx="0">
                  <c:v>即时通信</c:v>
                </c:pt>
              </c:strCache>
            </c:strRef>
          </c:tx>
          <c:spPr>
            <a:ln w="15875" cap="rnd" cmpd="sng" algn="ctr">
              <a:solidFill>
                <a:srgbClr val="1F497D">
                  <a:lumMod val="60000"/>
                  <a:lumOff val="40000"/>
                </a:srgbClr>
              </a:solidFill>
              <a:prstDash val="solid"/>
              <a:roun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DF44-4188-AF73-E0BE162444C8}"/>
                </c:ext>
              </c:extLst>
            </c:dLbl>
            <c:dLbl>
              <c:idx val="1"/>
              <c:delete val="1"/>
              <c:extLst>
                <c:ext xmlns:c15="http://schemas.microsoft.com/office/drawing/2012/chart" uri="{CE6537A1-D6FC-4f65-9D91-7224C49458BB}"/>
                <c:ext xmlns:c16="http://schemas.microsoft.com/office/drawing/2014/chart" uri="{C3380CC4-5D6E-409C-BE32-E72D297353CC}">
                  <c16:uniqueId val="{00000001-DF44-4188-AF73-E0BE162444C8}"/>
                </c:ext>
              </c:extLst>
            </c:dLbl>
            <c:dLbl>
              <c:idx val="2"/>
              <c:delete val="1"/>
              <c:extLst>
                <c:ext xmlns:c15="http://schemas.microsoft.com/office/drawing/2012/chart" uri="{CE6537A1-D6FC-4f65-9D91-7224C49458BB}"/>
                <c:ext xmlns:c16="http://schemas.microsoft.com/office/drawing/2014/chart" uri="{C3380CC4-5D6E-409C-BE32-E72D297353CC}">
                  <c16:uniqueId val="{00000002-DF44-4188-AF73-E0BE162444C8}"/>
                </c:ext>
              </c:extLst>
            </c:dLbl>
            <c:dLbl>
              <c:idx val="3"/>
              <c:delete val="1"/>
              <c:extLst>
                <c:ext xmlns:c15="http://schemas.microsoft.com/office/drawing/2012/chart" uri="{CE6537A1-D6FC-4f65-9D91-7224C49458BB}"/>
                <c:ext xmlns:c16="http://schemas.microsoft.com/office/drawing/2014/chart" uri="{C3380CC4-5D6E-409C-BE32-E72D297353CC}">
                  <c16:uniqueId val="{00000003-DF44-4188-AF73-E0BE162444C8}"/>
                </c:ext>
              </c:extLst>
            </c:dLbl>
            <c:dLbl>
              <c:idx val="4"/>
              <c:delete val="1"/>
              <c:extLst>
                <c:ext xmlns:c15="http://schemas.microsoft.com/office/drawing/2012/chart" uri="{CE6537A1-D6FC-4f65-9D91-7224C49458BB}"/>
                <c:ext xmlns:c16="http://schemas.microsoft.com/office/drawing/2014/chart" uri="{C3380CC4-5D6E-409C-BE32-E72D297353CC}">
                  <c16:uniqueId val="{00000004-DF44-4188-AF73-E0BE162444C8}"/>
                </c:ext>
              </c:extLst>
            </c:dLbl>
            <c:dLbl>
              <c:idx val="5"/>
              <c:delete val="1"/>
              <c:extLst>
                <c:ext xmlns:c15="http://schemas.microsoft.com/office/drawing/2012/chart" uri="{CE6537A1-D6FC-4f65-9D91-7224C49458BB}"/>
                <c:ext xmlns:c16="http://schemas.microsoft.com/office/drawing/2014/chart" uri="{C3380CC4-5D6E-409C-BE32-E72D297353CC}">
                  <c16:uniqueId val="{00000005-DF44-4188-AF73-E0BE162444C8}"/>
                </c:ext>
              </c:extLst>
            </c:dLbl>
            <c:dLbl>
              <c:idx val="6"/>
              <c:delete val="1"/>
              <c:extLst>
                <c:ext xmlns:c15="http://schemas.microsoft.com/office/drawing/2012/chart" uri="{CE6537A1-D6FC-4f65-9D91-7224C49458BB}"/>
                <c:ext xmlns:c16="http://schemas.microsoft.com/office/drawing/2014/chart" uri="{C3380CC4-5D6E-409C-BE32-E72D297353CC}">
                  <c16:uniqueId val="{00000006-DF44-4188-AF73-E0BE162444C8}"/>
                </c:ext>
              </c:extLst>
            </c:dLbl>
            <c:dLbl>
              <c:idx val="7"/>
              <c:delete val="1"/>
              <c:extLst>
                <c:ext xmlns:c15="http://schemas.microsoft.com/office/drawing/2012/chart" uri="{CE6537A1-D6FC-4f65-9D91-7224C49458BB}"/>
                <c:ext xmlns:c16="http://schemas.microsoft.com/office/drawing/2014/chart" uri="{C3380CC4-5D6E-409C-BE32-E72D297353CC}">
                  <c16:uniqueId val="{00000007-DF44-4188-AF73-E0BE162444C8}"/>
                </c:ext>
              </c:extLst>
            </c:dLbl>
            <c:dLbl>
              <c:idx val="8"/>
              <c:delete val="1"/>
              <c:extLst>
                <c:ext xmlns:c15="http://schemas.microsoft.com/office/drawing/2012/chart" uri="{CE6537A1-D6FC-4f65-9D91-7224C49458BB}"/>
                <c:ext xmlns:c16="http://schemas.microsoft.com/office/drawing/2014/chart" uri="{C3380CC4-5D6E-409C-BE32-E72D297353CC}">
                  <c16:uniqueId val="{00000008-DF44-4188-AF73-E0BE162444C8}"/>
                </c:ext>
              </c:extLst>
            </c:dLbl>
            <c:dLbl>
              <c:idx val="9"/>
              <c:layout>
                <c:manualLayout>
                  <c:x val="-0.103881278538813"/>
                  <c:y val="-5.4982682577048997E-2"/>
                </c:manualLayout>
              </c:layout>
              <c:tx>
                <c:rich>
                  <a:bodyPr/>
                  <a:lstStyle/>
                  <a:p>
                    <a:r>
                      <a:rPr lang="zh-CN" altLang="en-US"/>
                      <a:t>即时通信</a:t>
                    </a:r>
                  </a:p>
                </c:rich>
              </c:tx>
              <c:dLblPos val="r"/>
              <c:showLegendKey val="0"/>
              <c:showVal val="1"/>
              <c:showCatName val="0"/>
              <c:showSerName val="0"/>
              <c:showPercent val="0"/>
              <c:showBubbleSize val="0"/>
              <c:extLst>
                <c:ext xmlns:c15="http://schemas.microsoft.com/office/drawing/2012/chart" uri="{CE6537A1-D6FC-4f65-9D91-7224C49458BB}">
                  <c15:layout>
                    <c:manualLayout>
                      <c:w val="0.16297936216876999"/>
                      <c:h val="4.8058554536353E-2"/>
                    </c:manualLayout>
                  </c15:layout>
                  <c15:showDataLabelsRange val="0"/>
                </c:ext>
                <c:ext xmlns:c16="http://schemas.microsoft.com/office/drawing/2014/chart" uri="{C3380CC4-5D6E-409C-BE32-E72D297353CC}">
                  <c16:uniqueId val="{00000009-DF44-4188-AF73-E0BE162444C8}"/>
                </c:ext>
              </c:extLst>
            </c:dLbl>
            <c:dLbl>
              <c:idx val="10"/>
              <c:delete val="1"/>
              <c:extLst>
                <c:ext xmlns:c15="http://schemas.microsoft.com/office/drawing/2012/chart" uri="{CE6537A1-D6FC-4f65-9D91-7224C49458BB}"/>
                <c:ext xmlns:c16="http://schemas.microsoft.com/office/drawing/2014/chart" uri="{C3380CC4-5D6E-409C-BE32-E72D297353CC}">
                  <c16:uniqueId val="{0000000A-DF44-4188-AF73-E0BE162444C8}"/>
                </c:ext>
              </c:extLst>
            </c:dLbl>
            <c:dLbl>
              <c:idx val="11"/>
              <c:delete val="1"/>
              <c:extLst>
                <c:ext xmlns:c15="http://schemas.microsoft.com/office/drawing/2012/chart" uri="{CE6537A1-D6FC-4f65-9D91-7224C49458BB}"/>
                <c:ext xmlns:c16="http://schemas.microsoft.com/office/drawing/2014/chart" uri="{C3380CC4-5D6E-409C-BE32-E72D297353CC}">
                  <c16:uniqueId val="{0000000B-DF44-4188-AF73-E0BE162444C8}"/>
                </c:ext>
              </c:extLst>
            </c:dLbl>
            <c:dLbl>
              <c:idx val="12"/>
              <c:delete val="1"/>
              <c:extLst>
                <c:ext xmlns:c15="http://schemas.microsoft.com/office/drawing/2012/chart" uri="{CE6537A1-D6FC-4f65-9D91-7224C49458BB}"/>
                <c:ext xmlns:c16="http://schemas.microsoft.com/office/drawing/2014/chart" uri="{C3380CC4-5D6E-409C-BE32-E72D297353CC}">
                  <c16:uniqueId val="{0000000C-DF44-4188-AF73-E0BE162444C8}"/>
                </c:ext>
              </c:extLst>
            </c:dLbl>
            <c:dLbl>
              <c:idx val="13"/>
              <c:delete val="1"/>
              <c:extLst>
                <c:ext xmlns:c15="http://schemas.microsoft.com/office/drawing/2012/chart" uri="{CE6537A1-D6FC-4f65-9D91-7224C49458BB}"/>
                <c:ext xmlns:c16="http://schemas.microsoft.com/office/drawing/2014/chart" uri="{C3380CC4-5D6E-409C-BE32-E72D297353CC}">
                  <c16:uniqueId val="{0000000D-DF44-4188-AF73-E0BE162444C8}"/>
                </c:ext>
              </c:extLst>
            </c:dLbl>
            <c:dLbl>
              <c:idx val="14"/>
              <c:delete val="1"/>
              <c:extLst>
                <c:ext xmlns:c15="http://schemas.microsoft.com/office/drawing/2012/chart" uri="{CE6537A1-D6FC-4f65-9D91-7224C49458BB}"/>
                <c:ext xmlns:c16="http://schemas.microsoft.com/office/drawing/2014/chart" uri="{C3380CC4-5D6E-409C-BE32-E72D297353CC}">
                  <c16:uniqueId val="{0000000E-DF44-4188-AF73-E0BE162444C8}"/>
                </c:ext>
              </c:extLst>
            </c:dLbl>
            <c:dLbl>
              <c:idx val="15"/>
              <c:delete val="1"/>
              <c:extLst>
                <c:ext xmlns:c15="http://schemas.microsoft.com/office/drawing/2012/chart" uri="{CE6537A1-D6FC-4f65-9D91-7224C49458BB}"/>
                <c:ext xmlns:c16="http://schemas.microsoft.com/office/drawing/2014/chart" uri="{C3380CC4-5D6E-409C-BE32-E72D297353CC}">
                  <c16:uniqueId val="{0000000F-DF44-4188-AF73-E0BE162444C8}"/>
                </c:ext>
              </c:extLst>
            </c:dLbl>
            <c:dLbl>
              <c:idx val="16"/>
              <c:delete val="1"/>
              <c:extLst>
                <c:ext xmlns:c15="http://schemas.microsoft.com/office/drawing/2012/chart" uri="{CE6537A1-D6FC-4f65-9D91-7224C49458BB}"/>
                <c:ext xmlns:c16="http://schemas.microsoft.com/office/drawing/2014/chart" uri="{C3380CC4-5D6E-409C-BE32-E72D297353CC}">
                  <c16:uniqueId val="{00000010-DF44-4188-AF73-E0BE162444C8}"/>
                </c:ext>
              </c:extLst>
            </c:dLbl>
            <c:dLbl>
              <c:idx val="17"/>
              <c:delete val="1"/>
              <c:extLst>
                <c:ext xmlns:c15="http://schemas.microsoft.com/office/drawing/2012/chart" uri="{CE6537A1-D6FC-4f65-9D91-7224C49458BB}"/>
                <c:ext xmlns:c16="http://schemas.microsoft.com/office/drawing/2014/chart" uri="{C3380CC4-5D6E-409C-BE32-E72D297353CC}">
                  <c16:uniqueId val="{00000011-DF44-4188-AF73-E0BE162444C8}"/>
                </c:ext>
              </c:extLst>
            </c:dLbl>
            <c:dLbl>
              <c:idx val="18"/>
              <c:delete val="1"/>
              <c:extLst>
                <c:ext xmlns:c15="http://schemas.microsoft.com/office/drawing/2012/chart" uri="{CE6537A1-D6FC-4f65-9D91-7224C49458BB}"/>
                <c:ext xmlns:c16="http://schemas.microsoft.com/office/drawing/2014/chart" uri="{C3380CC4-5D6E-409C-BE32-E72D297353CC}">
                  <c16:uniqueId val="{00000012-DF44-4188-AF73-E0BE162444C8}"/>
                </c:ext>
              </c:extLst>
            </c:dLbl>
            <c:dLbl>
              <c:idx val="19"/>
              <c:delete val="1"/>
              <c:extLst>
                <c:ext xmlns:c15="http://schemas.microsoft.com/office/drawing/2012/chart" uri="{CE6537A1-D6FC-4f65-9D91-7224C49458BB}"/>
                <c:ext xmlns:c16="http://schemas.microsoft.com/office/drawing/2014/chart" uri="{C3380CC4-5D6E-409C-BE32-E72D297353CC}">
                  <c16:uniqueId val="{00000013-DF44-4188-AF73-E0BE162444C8}"/>
                </c:ext>
              </c:extLst>
            </c:dLbl>
            <c:dLbl>
              <c:idx val="20"/>
              <c:delete val="1"/>
              <c:extLst>
                <c:ext xmlns:c15="http://schemas.microsoft.com/office/drawing/2012/chart" uri="{CE6537A1-D6FC-4f65-9D91-7224C49458BB}"/>
                <c:ext xmlns:c16="http://schemas.microsoft.com/office/drawing/2014/chart" uri="{C3380CC4-5D6E-409C-BE32-E72D297353CC}">
                  <c16:uniqueId val="{00000014-DF44-4188-AF73-E0BE162444C8}"/>
                </c:ext>
              </c:extLst>
            </c:dLbl>
            <c:dLbl>
              <c:idx val="21"/>
              <c:delete val="1"/>
              <c:extLst>
                <c:ext xmlns:c15="http://schemas.microsoft.com/office/drawing/2012/chart" uri="{CE6537A1-D6FC-4f65-9D91-7224C49458BB}"/>
                <c:ext xmlns:c16="http://schemas.microsoft.com/office/drawing/2014/chart" uri="{C3380CC4-5D6E-409C-BE32-E72D297353CC}">
                  <c16:uniqueId val="{00000015-DF44-4188-AF73-E0BE162444C8}"/>
                </c:ext>
              </c:extLst>
            </c:dLbl>
            <c:dLbl>
              <c:idx val="22"/>
              <c:delete val="1"/>
              <c:extLst>
                <c:ext xmlns:c15="http://schemas.microsoft.com/office/drawing/2012/chart" uri="{CE6537A1-D6FC-4f65-9D91-7224C49458BB}"/>
                <c:ext xmlns:c16="http://schemas.microsoft.com/office/drawing/2014/chart" uri="{C3380CC4-5D6E-409C-BE32-E72D297353CC}">
                  <c16:uniqueId val="{00000016-DF44-4188-AF73-E0BE162444C8}"/>
                </c:ext>
              </c:extLst>
            </c:dLbl>
            <c:dLbl>
              <c:idx val="23"/>
              <c:delete val="1"/>
              <c:extLst>
                <c:ext xmlns:c15="http://schemas.microsoft.com/office/drawing/2012/chart" uri="{CE6537A1-D6FC-4f65-9D91-7224C49458BB}"/>
                <c:ext xmlns:c16="http://schemas.microsoft.com/office/drawing/2014/chart" uri="{C3380CC4-5D6E-409C-BE32-E72D297353CC}">
                  <c16:uniqueId val="{00000017-DF44-4188-AF73-E0BE162444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ea"/>
                    <a:ea typeface="+mn-ea"/>
                    <a:cs typeface="+mn-cs"/>
                  </a:defRPr>
                </a:pPr>
                <a:endParaRPr lang="zh-CN"/>
              </a:p>
            </c:txPr>
            <c:dLblPos val="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Sheet1!$A$2:$A$25</c:f>
              <c:strCache>
                <c:ptCount val="24"/>
                <c:pt idx="0">
                  <c:v>6点</c:v>
                </c:pt>
                <c:pt idx="1">
                  <c:v>7点</c:v>
                </c:pt>
                <c:pt idx="2">
                  <c:v>8点</c:v>
                </c:pt>
                <c:pt idx="3">
                  <c:v>9点</c:v>
                </c:pt>
                <c:pt idx="4">
                  <c:v>10点</c:v>
                </c:pt>
                <c:pt idx="5">
                  <c:v>11点</c:v>
                </c:pt>
                <c:pt idx="6">
                  <c:v>12点</c:v>
                </c:pt>
                <c:pt idx="7">
                  <c:v>13点</c:v>
                </c:pt>
                <c:pt idx="8">
                  <c:v>14点</c:v>
                </c:pt>
                <c:pt idx="9">
                  <c:v>15点</c:v>
                </c:pt>
                <c:pt idx="10">
                  <c:v>16点</c:v>
                </c:pt>
                <c:pt idx="11">
                  <c:v>17点</c:v>
                </c:pt>
                <c:pt idx="12">
                  <c:v>18点</c:v>
                </c:pt>
                <c:pt idx="13">
                  <c:v>19点</c:v>
                </c:pt>
                <c:pt idx="14">
                  <c:v>20点</c:v>
                </c:pt>
                <c:pt idx="15">
                  <c:v>21点</c:v>
                </c:pt>
                <c:pt idx="16">
                  <c:v>22点</c:v>
                </c:pt>
                <c:pt idx="17">
                  <c:v>23点</c:v>
                </c:pt>
                <c:pt idx="18">
                  <c:v>0点</c:v>
                </c:pt>
                <c:pt idx="19">
                  <c:v>1点</c:v>
                </c:pt>
                <c:pt idx="20">
                  <c:v>2点</c:v>
                </c:pt>
                <c:pt idx="21">
                  <c:v>3点</c:v>
                </c:pt>
                <c:pt idx="22">
                  <c:v>4点</c:v>
                </c:pt>
                <c:pt idx="23">
                  <c:v>5点</c:v>
                </c:pt>
              </c:strCache>
            </c:strRef>
          </c:cat>
          <c:val>
            <c:numRef>
              <c:f>Sheet1!$B$2:$B$25</c:f>
              <c:numCache>
                <c:formatCode>0.00%</c:formatCode>
                <c:ptCount val="24"/>
                <c:pt idx="0">
                  <c:v>2.3019999999999999E-2</c:v>
                </c:pt>
                <c:pt idx="1">
                  <c:v>3.6576666666666702E-2</c:v>
                </c:pt>
                <c:pt idx="2">
                  <c:v>4.8899999999999999E-2</c:v>
                </c:pt>
                <c:pt idx="3">
                  <c:v>5.57666666666667E-2</c:v>
                </c:pt>
                <c:pt idx="4">
                  <c:v>5.9196666666666703E-2</c:v>
                </c:pt>
                <c:pt idx="5">
                  <c:v>6.1060000000000003E-2</c:v>
                </c:pt>
                <c:pt idx="6">
                  <c:v>5.7689999999999998E-2</c:v>
                </c:pt>
                <c:pt idx="7">
                  <c:v>5.19566666666667E-2</c:v>
                </c:pt>
                <c:pt idx="8">
                  <c:v>5.50166666666667E-2</c:v>
                </c:pt>
                <c:pt idx="9">
                  <c:v>5.7790000000000001E-2</c:v>
                </c:pt>
                <c:pt idx="10">
                  <c:v>5.7553333333333297E-2</c:v>
                </c:pt>
                <c:pt idx="11">
                  <c:v>5.8366666666666699E-2</c:v>
                </c:pt>
                <c:pt idx="12">
                  <c:v>5.7083333333333298E-2</c:v>
                </c:pt>
                <c:pt idx="13">
                  <c:v>5.5623333333333302E-2</c:v>
                </c:pt>
                <c:pt idx="14">
                  <c:v>5.40866666666667E-2</c:v>
                </c:pt>
                <c:pt idx="15">
                  <c:v>4.7806666666666699E-2</c:v>
                </c:pt>
                <c:pt idx="16">
                  <c:v>3.918E-2</c:v>
                </c:pt>
                <c:pt idx="17">
                  <c:v>2.4753333333333301E-2</c:v>
                </c:pt>
                <c:pt idx="18">
                  <c:v>3.1286666666666699E-2</c:v>
                </c:pt>
                <c:pt idx="19">
                  <c:v>1.8666666666666699E-2</c:v>
                </c:pt>
                <c:pt idx="20">
                  <c:v>1.3616666666666701E-2</c:v>
                </c:pt>
                <c:pt idx="21">
                  <c:v>1.055E-2</c:v>
                </c:pt>
                <c:pt idx="22">
                  <c:v>1.0403333333333299E-2</c:v>
                </c:pt>
                <c:pt idx="23">
                  <c:v>1.4076666666666701E-2</c:v>
                </c:pt>
              </c:numCache>
            </c:numRef>
          </c:val>
          <c:smooth val="1"/>
          <c:extLst>
            <c:ext xmlns:c16="http://schemas.microsoft.com/office/drawing/2014/chart" uri="{C3380CC4-5D6E-409C-BE32-E72D297353CC}">
              <c16:uniqueId val="{00000018-DF44-4188-AF73-E0BE162444C8}"/>
            </c:ext>
          </c:extLst>
        </c:ser>
        <c:ser>
          <c:idx val="1"/>
          <c:order val="1"/>
          <c:tx>
            <c:strRef>
              <c:f>Sheet1!$C$1</c:f>
              <c:strCache>
                <c:ptCount val="1"/>
                <c:pt idx="0">
                  <c:v>网络购物</c:v>
                </c:pt>
              </c:strCache>
            </c:strRef>
          </c:tx>
          <c:spPr>
            <a:ln w="25400" cap="rnd" cmpd="sng" algn="ctr">
              <a:solidFill>
                <a:schemeClr val="accent2">
                  <a:shade val="95000"/>
                  <a:satMod val="105000"/>
                </a:schemeClr>
              </a:solidFill>
              <a:prstDash val="sysDot"/>
              <a:round/>
            </a:ln>
          </c:spPr>
          <c:marker>
            <c:symbol val="none"/>
          </c:marker>
          <c:dLbls>
            <c:dLbl>
              <c:idx val="0"/>
              <c:layout>
                <c:manualLayout>
                  <c:x val="-2.9232631256781938E-2"/>
                  <c:y val="-0.16550231803796334"/>
                </c:manualLayout>
              </c:layout>
              <c:tx>
                <c:rich>
                  <a:bodyPr/>
                  <a:lstStyle/>
                  <a:p>
                    <a:fld id="{7A1F3413-9109-499B-9D2C-40A817FD7C0F}" type="SERIESNAME">
                      <a:rPr lang="zh-CN" altLang="en-US"/>
                      <a:pPr/>
                      <a:t>[系列名称]</a:t>
                    </a:fld>
                    <a:endParaRPr lang="zh-CN" alt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DF44-4188-AF73-E0BE162444C8}"/>
                </c:ext>
              </c:extLst>
            </c:dLbl>
            <c:dLbl>
              <c:idx val="1"/>
              <c:delete val="1"/>
              <c:extLst>
                <c:ext xmlns:c15="http://schemas.microsoft.com/office/drawing/2012/chart" uri="{CE6537A1-D6FC-4f65-9D91-7224C49458BB}"/>
                <c:ext xmlns:c16="http://schemas.microsoft.com/office/drawing/2014/chart" uri="{C3380CC4-5D6E-409C-BE32-E72D297353CC}">
                  <c16:uniqueId val="{0000001A-DF44-4188-AF73-E0BE162444C8}"/>
                </c:ext>
              </c:extLst>
            </c:dLbl>
            <c:dLbl>
              <c:idx val="2"/>
              <c:delete val="1"/>
              <c:extLst>
                <c:ext xmlns:c15="http://schemas.microsoft.com/office/drawing/2012/chart" uri="{CE6537A1-D6FC-4f65-9D91-7224C49458BB}"/>
                <c:ext xmlns:c16="http://schemas.microsoft.com/office/drawing/2014/chart" uri="{C3380CC4-5D6E-409C-BE32-E72D297353CC}">
                  <c16:uniqueId val="{0000001B-DF44-4188-AF73-E0BE162444C8}"/>
                </c:ext>
              </c:extLst>
            </c:dLbl>
            <c:dLbl>
              <c:idx val="3"/>
              <c:delete val="1"/>
              <c:extLst>
                <c:ext xmlns:c15="http://schemas.microsoft.com/office/drawing/2012/chart" uri="{CE6537A1-D6FC-4f65-9D91-7224C49458BB}"/>
                <c:ext xmlns:c16="http://schemas.microsoft.com/office/drawing/2014/chart" uri="{C3380CC4-5D6E-409C-BE32-E72D297353CC}">
                  <c16:uniqueId val="{0000001C-DF44-4188-AF73-E0BE162444C8}"/>
                </c:ext>
              </c:extLst>
            </c:dLbl>
            <c:dLbl>
              <c:idx val="4"/>
              <c:delete val="1"/>
              <c:extLst>
                <c:ext xmlns:c15="http://schemas.microsoft.com/office/drawing/2012/chart" uri="{CE6537A1-D6FC-4f65-9D91-7224C49458BB}"/>
                <c:ext xmlns:c16="http://schemas.microsoft.com/office/drawing/2014/chart" uri="{C3380CC4-5D6E-409C-BE32-E72D297353CC}">
                  <c16:uniqueId val="{0000001D-DF44-4188-AF73-E0BE162444C8}"/>
                </c:ext>
              </c:extLst>
            </c:dLbl>
            <c:dLbl>
              <c:idx val="5"/>
              <c:delete val="1"/>
              <c:extLst>
                <c:ext xmlns:c15="http://schemas.microsoft.com/office/drawing/2012/chart" uri="{CE6537A1-D6FC-4f65-9D91-7224C49458BB}"/>
                <c:ext xmlns:c16="http://schemas.microsoft.com/office/drawing/2014/chart" uri="{C3380CC4-5D6E-409C-BE32-E72D297353CC}">
                  <c16:uniqueId val="{0000001E-DF44-4188-AF73-E0BE162444C8}"/>
                </c:ext>
              </c:extLst>
            </c:dLbl>
            <c:dLbl>
              <c:idx val="6"/>
              <c:delete val="1"/>
              <c:extLst>
                <c:ext xmlns:c15="http://schemas.microsoft.com/office/drawing/2012/chart" uri="{CE6537A1-D6FC-4f65-9D91-7224C49458BB}"/>
                <c:ext xmlns:c16="http://schemas.microsoft.com/office/drawing/2014/chart" uri="{C3380CC4-5D6E-409C-BE32-E72D297353CC}">
                  <c16:uniqueId val="{0000001F-DF44-4188-AF73-E0BE162444C8}"/>
                </c:ext>
              </c:extLst>
            </c:dLbl>
            <c:dLbl>
              <c:idx val="7"/>
              <c:delete val="1"/>
              <c:extLst>
                <c:ext xmlns:c15="http://schemas.microsoft.com/office/drawing/2012/chart" uri="{CE6537A1-D6FC-4f65-9D91-7224C49458BB}"/>
                <c:ext xmlns:c16="http://schemas.microsoft.com/office/drawing/2014/chart" uri="{C3380CC4-5D6E-409C-BE32-E72D297353CC}">
                  <c16:uniqueId val="{00000020-DF44-4188-AF73-E0BE162444C8}"/>
                </c:ext>
              </c:extLst>
            </c:dLbl>
            <c:dLbl>
              <c:idx val="8"/>
              <c:delete val="1"/>
              <c:extLst>
                <c:ext xmlns:c15="http://schemas.microsoft.com/office/drawing/2012/chart" uri="{CE6537A1-D6FC-4f65-9D91-7224C49458BB}"/>
                <c:ext xmlns:c16="http://schemas.microsoft.com/office/drawing/2014/chart" uri="{C3380CC4-5D6E-409C-BE32-E72D297353CC}">
                  <c16:uniqueId val="{00000021-DF44-4188-AF73-E0BE162444C8}"/>
                </c:ext>
              </c:extLst>
            </c:dLbl>
            <c:dLbl>
              <c:idx val="9"/>
              <c:delete val="1"/>
              <c:extLst>
                <c:ext xmlns:c15="http://schemas.microsoft.com/office/drawing/2012/chart" uri="{CE6537A1-D6FC-4f65-9D91-7224C49458BB}"/>
                <c:ext xmlns:c16="http://schemas.microsoft.com/office/drawing/2014/chart" uri="{C3380CC4-5D6E-409C-BE32-E72D297353CC}">
                  <c16:uniqueId val="{00000022-DF44-4188-AF73-E0BE162444C8}"/>
                </c:ext>
              </c:extLst>
            </c:dLbl>
            <c:dLbl>
              <c:idx val="10"/>
              <c:delete val="1"/>
              <c:extLst>
                <c:ext xmlns:c15="http://schemas.microsoft.com/office/drawing/2012/chart" uri="{CE6537A1-D6FC-4f65-9D91-7224C49458BB}"/>
                <c:ext xmlns:c16="http://schemas.microsoft.com/office/drawing/2014/chart" uri="{C3380CC4-5D6E-409C-BE32-E72D297353CC}">
                  <c16:uniqueId val="{00000023-DF44-4188-AF73-E0BE162444C8}"/>
                </c:ext>
              </c:extLst>
            </c:dLbl>
            <c:dLbl>
              <c:idx val="11"/>
              <c:delete val="1"/>
              <c:extLst>
                <c:ext xmlns:c15="http://schemas.microsoft.com/office/drawing/2012/chart" uri="{CE6537A1-D6FC-4f65-9D91-7224C49458BB}"/>
                <c:ext xmlns:c16="http://schemas.microsoft.com/office/drawing/2014/chart" uri="{C3380CC4-5D6E-409C-BE32-E72D297353CC}">
                  <c16:uniqueId val="{00000024-DF44-4188-AF73-E0BE162444C8}"/>
                </c:ext>
              </c:extLst>
            </c:dLbl>
            <c:dLbl>
              <c:idx val="12"/>
              <c:delete val="1"/>
              <c:extLst>
                <c:ext xmlns:c15="http://schemas.microsoft.com/office/drawing/2012/chart" uri="{CE6537A1-D6FC-4f65-9D91-7224C49458BB}"/>
                <c:ext xmlns:c16="http://schemas.microsoft.com/office/drawing/2014/chart" uri="{C3380CC4-5D6E-409C-BE32-E72D297353CC}">
                  <c16:uniqueId val="{00000025-DF44-4188-AF73-E0BE162444C8}"/>
                </c:ext>
              </c:extLst>
            </c:dLbl>
            <c:dLbl>
              <c:idx val="13"/>
              <c:delete val="1"/>
              <c:extLst>
                <c:ext xmlns:c15="http://schemas.microsoft.com/office/drawing/2012/chart" uri="{CE6537A1-D6FC-4f65-9D91-7224C49458BB}"/>
                <c:ext xmlns:c16="http://schemas.microsoft.com/office/drawing/2014/chart" uri="{C3380CC4-5D6E-409C-BE32-E72D297353CC}">
                  <c16:uniqueId val="{00000026-DF44-4188-AF73-E0BE162444C8}"/>
                </c:ext>
              </c:extLst>
            </c:dLbl>
            <c:dLbl>
              <c:idx val="14"/>
              <c:delete val="1"/>
              <c:extLst>
                <c:ext xmlns:c15="http://schemas.microsoft.com/office/drawing/2012/chart" uri="{CE6537A1-D6FC-4f65-9D91-7224C49458BB}"/>
                <c:ext xmlns:c16="http://schemas.microsoft.com/office/drawing/2014/chart" uri="{C3380CC4-5D6E-409C-BE32-E72D297353CC}">
                  <c16:uniqueId val="{00000027-DF44-4188-AF73-E0BE162444C8}"/>
                </c:ext>
              </c:extLst>
            </c:dLbl>
            <c:dLbl>
              <c:idx val="15"/>
              <c:delete val="1"/>
              <c:extLst>
                <c:ext xmlns:c15="http://schemas.microsoft.com/office/drawing/2012/chart" uri="{CE6537A1-D6FC-4f65-9D91-7224C49458BB}"/>
                <c:ext xmlns:c16="http://schemas.microsoft.com/office/drawing/2014/chart" uri="{C3380CC4-5D6E-409C-BE32-E72D297353CC}">
                  <c16:uniqueId val="{00000028-DF44-4188-AF73-E0BE162444C8}"/>
                </c:ext>
              </c:extLst>
            </c:dLbl>
            <c:dLbl>
              <c:idx val="16"/>
              <c:delete val="1"/>
              <c:extLst>
                <c:ext xmlns:c15="http://schemas.microsoft.com/office/drawing/2012/chart" uri="{CE6537A1-D6FC-4f65-9D91-7224C49458BB}"/>
                <c:ext xmlns:c16="http://schemas.microsoft.com/office/drawing/2014/chart" uri="{C3380CC4-5D6E-409C-BE32-E72D297353CC}">
                  <c16:uniqueId val="{00000029-DF44-4188-AF73-E0BE162444C8}"/>
                </c:ext>
              </c:extLst>
            </c:dLbl>
            <c:dLbl>
              <c:idx val="17"/>
              <c:delete val="1"/>
              <c:extLst>
                <c:ext xmlns:c15="http://schemas.microsoft.com/office/drawing/2012/chart" uri="{CE6537A1-D6FC-4f65-9D91-7224C49458BB}"/>
                <c:ext xmlns:c16="http://schemas.microsoft.com/office/drawing/2014/chart" uri="{C3380CC4-5D6E-409C-BE32-E72D297353CC}">
                  <c16:uniqueId val="{0000002A-DF44-4188-AF73-E0BE162444C8}"/>
                </c:ext>
              </c:extLst>
            </c:dLbl>
            <c:dLbl>
              <c:idx val="18"/>
              <c:delete val="1"/>
              <c:extLst>
                <c:ext xmlns:c15="http://schemas.microsoft.com/office/drawing/2012/chart" uri="{CE6537A1-D6FC-4f65-9D91-7224C49458BB}"/>
                <c:ext xmlns:c16="http://schemas.microsoft.com/office/drawing/2014/chart" uri="{C3380CC4-5D6E-409C-BE32-E72D297353CC}">
                  <c16:uniqueId val="{0000002B-DF44-4188-AF73-E0BE162444C8}"/>
                </c:ext>
              </c:extLst>
            </c:dLbl>
            <c:dLbl>
              <c:idx val="19"/>
              <c:delete val="1"/>
              <c:extLst>
                <c:ext xmlns:c15="http://schemas.microsoft.com/office/drawing/2012/chart" uri="{CE6537A1-D6FC-4f65-9D91-7224C49458BB}"/>
                <c:ext xmlns:c16="http://schemas.microsoft.com/office/drawing/2014/chart" uri="{C3380CC4-5D6E-409C-BE32-E72D297353CC}">
                  <c16:uniqueId val="{0000002C-DF44-4188-AF73-E0BE162444C8}"/>
                </c:ext>
              </c:extLst>
            </c:dLbl>
            <c:dLbl>
              <c:idx val="20"/>
              <c:delete val="1"/>
              <c:extLst>
                <c:ext xmlns:c15="http://schemas.microsoft.com/office/drawing/2012/chart" uri="{CE6537A1-D6FC-4f65-9D91-7224C49458BB}"/>
                <c:ext xmlns:c16="http://schemas.microsoft.com/office/drawing/2014/chart" uri="{C3380CC4-5D6E-409C-BE32-E72D297353CC}">
                  <c16:uniqueId val="{0000002D-DF44-4188-AF73-E0BE162444C8}"/>
                </c:ext>
              </c:extLst>
            </c:dLbl>
            <c:dLbl>
              <c:idx val="21"/>
              <c:delete val="1"/>
              <c:extLst>
                <c:ext xmlns:c15="http://schemas.microsoft.com/office/drawing/2012/chart" uri="{CE6537A1-D6FC-4f65-9D91-7224C49458BB}"/>
                <c:ext xmlns:c16="http://schemas.microsoft.com/office/drawing/2014/chart" uri="{C3380CC4-5D6E-409C-BE32-E72D297353CC}">
                  <c16:uniqueId val="{0000002E-DF44-4188-AF73-E0BE162444C8}"/>
                </c:ext>
              </c:extLst>
            </c:dLbl>
            <c:dLbl>
              <c:idx val="22"/>
              <c:delete val="1"/>
              <c:extLst>
                <c:ext xmlns:c15="http://schemas.microsoft.com/office/drawing/2012/chart" uri="{CE6537A1-D6FC-4f65-9D91-7224C49458BB}"/>
                <c:ext xmlns:c16="http://schemas.microsoft.com/office/drawing/2014/chart" uri="{C3380CC4-5D6E-409C-BE32-E72D297353CC}">
                  <c16:uniqueId val="{0000002F-DF44-4188-AF73-E0BE162444C8}"/>
                </c:ext>
              </c:extLst>
            </c:dLbl>
            <c:dLbl>
              <c:idx val="23"/>
              <c:delete val="1"/>
              <c:extLst>
                <c:ext xmlns:c15="http://schemas.microsoft.com/office/drawing/2012/chart" uri="{CE6537A1-D6FC-4f65-9D91-7224C49458BB}"/>
                <c:ext xmlns:c16="http://schemas.microsoft.com/office/drawing/2014/chart" uri="{C3380CC4-5D6E-409C-BE32-E72D297353CC}">
                  <c16:uniqueId val="{00000030-DF44-4188-AF73-E0BE162444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r"/>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Sheet1!$A$2:$A$25</c:f>
              <c:strCache>
                <c:ptCount val="24"/>
                <c:pt idx="0">
                  <c:v>6点</c:v>
                </c:pt>
                <c:pt idx="1">
                  <c:v>7点</c:v>
                </c:pt>
                <c:pt idx="2">
                  <c:v>8点</c:v>
                </c:pt>
                <c:pt idx="3">
                  <c:v>9点</c:v>
                </c:pt>
                <c:pt idx="4">
                  <c:v>10点</c:v>
                </c:pt>
                <c:pt idx="5">
                  <c:v>11点</c:v>
                </c:pt>
                <c:pt idx="6">
                  <c:v>12点</c:v>
                </c:pt>
                <c:pt idx="7">
                  <c:v>13点</c:v>
                </c:pt>
                <c:pt idx="8">
                  <c:v>14点</c:v>
                </c:pt>
                <c:pt idx="9">
                  <c:v>15点</c:v>
                </c:pt>
                <c:pt idx="10">
                  <c:v>16点</c:v>
                </c:pt>
                <c:pt idx="11">
                  <c:v>17点</c:v>
                </c:pt>
                <c:pt idx="12">
                  <c:v>18点</c:v>
                </c:pt>
                <c:pt idx="13">
                  <c:v>19点</c:v>
                </c:pt>
                <c:pt idx="14">
                  <c:v>20点</c:v>
                </c:pt>
                <c:pt idx="15">
                  <c:v>21点</c:v>
                </c:pt>
                <c:pt idx="16">
                  <c:v>22点</c:v>
                </c:pt>
                <c:pt idx="17">
                  <c:v>23点</c:v>
                </c:pt>
                <c:pt idx="18">
                  <c:v>0点</c:v>
                </c:pt>
                <c:pt idx="19">
                  <c:v>1点</c:v>
                </c:pt>
                <c:pt idx="20">
                  <c:v>2点</c:v>
                </c:pt>
                <c:pt idx="21">
                  <c:v>3点</c:v>
                </c:pt>
                <c:pt idx="22">
                  <c:v>4点</c:v>
                </c:pt>
                <c:pt idx="23">
                  <c:v>5点</c:v>
                </c:pt>
              </c:strCache>
            </c:strRef>
          </c:cat>
          <c:val>
            <c:numRef>
              <c:f>Sheet1!$C$2:$C$25</c:f>
              <c:numCache>
                <c:formatCode>0.00%</c:formatCode>
                <c:ptCount val="24"/>
                <c:pt idx="0">
                  <c:v>2.6976666666666701E-2</c:v>
                </c:pt>
                <c:pt idx="1">
                  <c:v>4.0623333333333303E-2</c:v>
                </c:pt>
                <c:pt idx="2">
                  <c:v>4.9239999999999999E-2</c:v>
                </c:pt>
                <c:pt idx="3">
                  <c:v>5.2846666666666701E-2</c:v>
                </c:pt>
                <c:pt idx="4">
                  <c:v>5.5456666666666703E-2</c:v>
                </c:pt>
                <c:pt idx="5">
                  <c:v>5.7913333333333303E-2</c:v>
                </c:pt>
                <c:pt idx="6">
                  <c:v>5.7869999999999998E-2</c:v>
                </c:pt>
                <c:pt idx="7">
                  <c:v>5.2723333333333303E-2</c:v>
                </c:pt>
                <c:pt idx="8">
                  <c:v>5.2846666666666701E-2</c:v>
                </c:pt>
                <c:pt idx="9">
                  <c:v>5.4006666666666703E-2</c:v>
                </c:pt>
                <c:pt idx="10">
                  <c:v>5.4993333333333297E-2</c:v>
                </c:pt>
                <c:pt idx="11">
                  <c:v>5.5046666666666702E-2</c:v>
                </c:pt>
                <c:pt idx="12">
                  <c:v>5.4170000000000003E-2</c:v>
                </c:pt>
                <c:pt idx="13">
                  <c:v>5.1493333333333301E-2</c:v>
                </c:pt>
                <c:pt idx="14">
                  <c:v>4.9520000000000002E-2</c:v>
                </c:pt>
                <c:pt idx="15">
                  <c:v>4.5400000000000003E-2</c:v>
                </c:pt>
                <c:pt idx="16">
                  <c:v>3.9083333333333303E-2</c:v>
                </c:pt>
                <c:pt idx="17">
                  <c:v>2.7656666666666701E-2</c:v>
                </c:pt>
                <c:pt idx="18">
                  <c:v>3.2599999999999997E-2</c:v>
                </c:pt>
                <c:pt idx="19">
                  <c:v>2.2190000000000001E-2</c:v>
                </c:pt>
                <c:pt idx="20">
                  <c:v>1.7696666666666701E-2</c:v>
                </c:pt>
                <c:pt idx="21">
                  <c:v>1.52966666666667E-2</c:v>
                </c:pt>
                <c:pt idx="22">
                  <c:v>1.52033333333333E-2</c:v>
                </c:pt>
                <c:pt idx="23">
                  <c:v>1.8936666666666699E-2</c:v>
                </c:pt>
              </c:numCache>
            </c:numRef>
          </c:val>
          <c:smooth val="1"/>
          <c:extLst>
            <c:ext xmlns:c16="http://schemas.microsoft.com/office/drawing/2014/chart" uri="{C3380CC4-5D6E-409C-BE32-E72D297353CC}">
              <c16:uniqueId val="{00000031-DF44-4188-AF73-E0BE162444C8}"/>
            </c:ext>
          </c:extLst>
        </c:ser>
        <c:ser>
          <c:idx val="2"/>
          <c:order val="2"/>
          <c:tx>
            <c:strRef>
              <c:f>Sheet1!$D$1</c:f>
              <c:strCache>
                <c:ptCount val="1"/>
                <c:pt idx="0">
                  <c:v>网络视频</c:v>
                </c:pt>
              </c:strCache>
            </c:strRef>
          </c:tx>
          <c:spPr>
            <a:ln w="22225" cap="rnd" cmpd="sng" algn="ctr">
              <a:solidFill>
                <a:srgbClr val="F79646">
                  <a:lumMod val="75000"/>
                </a:srgbClr>
              </a:solidFill>
              <a:prstDash val="sysDash"/>
              <a:roun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32-DF44-4188-AF73-E0BE162444C8}"/>
                </c:ext>
              </c:extLst>
            </c:dLbl>
            <c:dLbl>
              <c:idx val="1"/>
              <c:delete val="1"/>
              <c:extLst>
                <c:ext xmlns:c15="http://schemas.microsoft.com/office/drawing/2012/chart" uri="{CE6537A1-D6FC-4f65-9D91-7224C49458BB}"/>
                <c:ext xmlns:c16="http://schemas.microsoft.com/office/drawing/2014/chart" uri="{C3380CC4-5D6E-409C-BE32-E72D297353CC}">
                  <c16:uniqueId val="{00000033-DF44-4188-AF73-E0BE162444C8}"/>
                </c:ext>
              </c:extLst>
            </c:dLbl>
            <c:dLbl>
              <c:idx val="2"/>
              <c:delete val="1"/>
              <c:extLst>
                <c:ext xmlns:c15="http://schemas.microsoft.com/office/drawing/2012/chart" uri="{CE6537A1-D6FC-4f65-9D91-7224C49458BB}"/>
                <c:ext xmlns:c16="http://schemas.microsoft.com/office/drawing/2014/chart" uri="{C3380CC4-5D6E-409C-BE32-E72D297353CC}">
                  <c16:uniqueId val="{00000034-DF44-4188-AF73-E0BE162444C8}"/>
                </c:ext>
              </c:extLst>
            </c:dLbl>
            <c:dLbl>
              <c:idx val="3"/>
              <c:delete val="1"/>
              <c:extLst>
                <c:ext xmlns:c15="http://schemas.microsoft.com/office/drawing/2012/chart" uri="{CE6537A1-D6FC-4f65-9D91-7224C49458BB}"/>
                <c:ext xmlns:c16="http://schemas.microsoft.com/office/drawing/2014/chart" uri="{C3380CC4-5D6E-409C-BE32-E72D297353CC}">
                  <c16:uniqueId val="{00000035-DF44-4188-AF73-E0BE162444C8}"/>
                </c:ext>
              </c:extLst>
            </c:dLbl>
            <c:dLbl>
              <c:idx val="4"/>
              <c:delete val="1"/>
              <c:extLst>
                <c:ext xmlns:c15="http://schemas.microsoft.com/office/drawing/2012/chart" uri="{CE6537A1-D6FC-4f65-9D91-7224C49458BB}"/>
                <c:ext xmlns:c16="http://schemas.microsoft.com/office/drawing/2014/chart" uri="{C3380CC4-5D6E-409C-BE32-E72D297353CC}">
                  <c16:uniqueId val="{00000036-DF44-4188-AF73-E0BE162444C8}"/>
                </c:ext>
              </c:extLst>
            </c:dLbl>
            <c:dLbl>
              <c:idx val="5"/>
              <c:delete val="1"/>
              <c:extLst>
                <c:ext xmlns:c15="http://schemas.microsoft.com/office/drawing/2012/chart" uri="{CE6537A1-D6FC-4f65-9D91-7224C49458BB}"/>
                <c:ext xmlns:c16="http://schemas.microsoft.com/office/drawing/2014/chart" uri="{C3380CC4-5D6E-409C-BE32-E72D297353CC}">
                  <c16:uniqueId val="{00000037-DF44-4188-AF73-E0BE162444C8}"/>
                </c:ext>
              </c:extLst>
            </c:dLbl>
            <c:dLbl>
              <c:idx val="6"/>
              <c:delete val="1"/>
              <c:extLst>
                <c:ext xmlns:c15="http://schemas.microsoft.com/office/drawing/2012/chart" uri="{CE6537A1-D6FC-4f65-9D91-7224C49458BB}"/>
                <c:ext xmlns:c16="http://schemas.microsoft.com/office/drawing/2014/chart" uri="{C3380CC4-5D6E-409C-BE32-E72D297353CC}">
                  <c16:uniqueId val="{00000038-DF44-4188-AF73-E0BE162444C8}"/>
                </c:ext>
              </c:extLst>
            </c:dLbl>
            <c:dLbl>
              <c:idx val="7"/>
              <c:delete val="1"/>
              <c:extLst>
                <c:ext xmlns:c15="http://schemas.microsoft.com/office/drawing/2012/chart" uri="{CE6537A1-D6FC-4f65-9D91-7224C49458BB}"/>
                <c:ext xmlns:c16="http://schemas.microsoft.com/office/drawing/2014/chart" uri="{C3380CC4-5D6E-409C-BE32-E72D297353CC}">
                  <c16:uniqueId val="{00000039-DF44-4188-AF73-E0BE162444C8}"/>
                </c:ext>
              </c:extLst>
            </c:dLbl>
            <c:dLbl>
              <c:idx val="8"/>
              <c:delete val="1"/>
              <c:extLst>
                <c:ext xmlns:c15="http://schemas.microsoft.com/office/drawing/2012/chart" uri="{CE6537A1-D6FC-4f65-9D91-7224C49458BB}"/>
                <c:ext xmlns:c16="http://schemas.microsoft.com/office/drawing/2014/chart" uri="{C3380CC4-5D6E-409C-BE32-E72D297353CC}">
                  <c16:uniqueId val="{0000003A-DF44-4188-AF73-E0BE162444C8}"/>
                </c:ext>
              </c:extLst>
            </c:dLbl>
            <c:dLbl>
              <c:idx val="9"/>
              <c:delete val="1"/>
              <c:extLst>
                <c:ext xmlns:c15="http://schemas.microsoft.com/office/drawing/2012/chart" uri="{CE6537A1-D6FC-4f65-9D91-7224C49458BB}"/>
                <c:ext xmlns:c16="http://schemas.microsoft.com/office/drawing/2014/chart" uri="{C3380CC4-5D6E-409C-BE32-E72D297353CC}">
                  <c16:uniqueId val="{0000003B-DF44-4188-AF73-E0BE162444C8}"/>
                </c:ext>
              </c:extLst>
            </c:dLbl>
            <c:dLbl>
              <c:idx val="10"/>
              <c:delete val="1"/>
              <c:extLst>
                <c:ext xmlns:c15="http://schemas.microsoft.com/office/drawing/2012/chart" uri="{CE6537A1-D6FC-4f65-9D91-7224C49458BB}"/>
                <c:ext xmlns:c16="http://schemas.microsoft.com/office/drawing/2014/chart" uri="{C3380CC4-5D6E-409C-BE32-E72D297353CC}">
                  <c16:uniqueId val="{0000003C-DF44-4188-AF73-E0BE162444C8}"/>
                </c:ext>
              </c:extLst>
            </c:dLbl>
            <c:dLbl>
              <c:idx val="11"/>
              <c:delete val="1"/>
              <c:extLst>
                <c:ext xmlns:c15="http://schemas.microsoft.com/office/drawing/2012/chart" uri="{CE6537A1-D6FC-4f65-9D91-7224C49458BB}"/>
                <c:ext xmlns:c16="http://schemas.microsoft.com/office/drawing/2014/chart" uri="{C3380CC4-5D6E-409C-BE32-E72D297353CC}">
                  <c16:uniqueId val="{0000003D-DF44-4188-AF73-E0BE162444C8}"/>
                </c:ext>
              </c:extLst>
            </c:dLbl>
            <c:dLbl>
              <c:idx val="12"/>
              <c:delete val="1"/>
              <c:extLst>
                <c:ext xmlns:c15="http://schemas.microsoft.com/office/drawing/2012/chart" uri="{CE6537A1-D6FC-4f65-9D91-7224C49458BB}"/>
                <c:ext xmlns:c16="http://schemas.microsoft.com/office/drawing/2014/chart" uri="{C3380CC4-5D6E-409C-BE32-E72D297353CC}">
                  <c16:uniqueId val="{0000003E-DF44-4188-AF73-E0BE162444C8}"/>
                </c:ext>
              </c:extLst>
            </c:dLbl>
            <c:dLbl>
              <c:idx val="13"/>
              <c:delete val="1"/>
              <c:extLst>
                <c:ext xmlns:c15="http://schemas.microsoft.com/office/drawing/2012/chart" uri="{CE6537A1-D6FC-4f65-9D91-7224C49458BB}"/>
                <c:ext xmlns:c16="http://schemas.microsoft.com/office/drawing/2014/chart" uri="{C3380CC4-5D6E-409C-BE32-E72D297353CC}">
                  <c16:uniqueId val="{0000003F-DF44-4188-AF73-E0BE162444C8}"/>
                </c:ext>
              </c:extLst>
            </c:dLbl>
            <c:dLbl>
              <c:idx val="14"/>
              <c:delete val="1"/>
              <c:extLst>
                <c:ext xmlns:c15="http://schemas.microsoft.com/office/drawing/2012/chart" uri="{CE6537A1-D6FC-4f65-9D91-7224C49458BB}"/>
                <c:ext xmlns:c16="http://schemas.microsoft.com/office/drawing/2014/chart" uri="{C3380CC4-5D6E-409C-BE32-E72D297353CC}">
                  <c16:uniqueId val="{00000040-DF44-4188-AF73-E0BE162444C8}"/>
                </c:ext>
              </c:extLst>
            </c:dLbl>
            <c:dLbl>
              <c:idx val="15"/>
              <c:delete val="1"/>
              <c:extLst>
                <c:ext xmlns:c15="http://schemas.microsoft.com/office/drawing/2012/chart" uri="{CE6537A1-D6FC-4f65-9D91-7224C49458BB}"/>
                <c:ext xmlns:c16="http://schemas.microsoft.com/office/drawing/2014/chart" uri="{C3380CC4-5D6E-409C-BE32-E72D297353CC}">
                  <c16:uniqueId val="{00000041-DF44-4188-AF73-E0BE162444C8}"/>
                </c:ext>
              </c:extLst>
            </c:dLbl>
            <c:dLbl>
              <c:idx val="16"/>
              <c:delete val="1"/>
              <c:extLst>
                <c:ext xmlns:c15="http://schemas.microsoft.com/office/drawing/2012/chart" uri="{CE6537A1-D6FC-4f65-9D91-7224C49458BB}"/>
                <c:ext xmlns:c16="http://schemas.microsoft.com/office/drawing/2014/chart" uri="{C3380CC4-5D6E-409C-BE32-E72D297353CC}">
                  <c16:uniqueId val="{00000042-DF44-4188-AF73-E0BE162444C8}"/>
                </c:ext>
              </c:extLst>
            </c:dLbl>
            <c:dLbl>
              <c:idx val="17"/>
              <c:delete val="1"/>
              <c:extLst>
                <c:ext xmlns:c15="http://schemas.microsoft.com/office/drawing/2012/chart" uri="{CE6537A1-D6FC-4f65-9D91-7224C49458BB}"/>
                <c:ext xmlns:c16="http://schemas.microsoft.com/office/drawing/2014/chart" uri="{C3380CC4-5D6E-409C-BE32-E72D297353CC}">
                  <c16:uniqueId val="{00000043-DF44-4188-AF73-E0BE162444C8}"/>
                </c:ext>
              </c:extLst>
            </c:dLbl>
            <c:dLbl>
              <c:idx val="18"/>
              <c:tx>
                <c:rich>
                  <a:bodyPr/>
                  <a:lstStyle/>
                  <a:p>
                    <a:r>
                      <a:rPr lang="zh-CN" altLang="en-US"/>
                      <a:t>网络视频</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4-DF44-4188-AF73-E0BE162444C8}"/>
                </c:ext>
              </c:extLst>
            </c:dLbl>
            <c:dLbl>
              <c:idx val="19"/>
              <c:delete val="1"/>
              <c:extLst>
                <c:ext xmlns:c15="http://schemas.microsoft.com/office/drawing/2012/chart" uri="{CE6537A1-D6FC-4f65-9D91-7224C49458BB}"/>
                <c:ext xmlns:c16="http://schemas.microsoft.com/office/drawing/2014/chart" uri="{C3380CC4-5D6E-409C-BE32-E72D297353CC}">
                  <c16:uniqueId val="{00000045-DF44-4188-AF73-E0BE162444C8}"/>
                </c:ext>
              </c:extLst>
            </c:dLbl>
            <c:dLbl>
              <c:idx val="20"/>
              <c:delete val="1"/>
              <c:extLst>
                <c:ext xmlns:c15="http://schemas.microsoft.com/office/drawing/2012/chart" uri="{CE6537A1-D6FC-4f65-9D91-7224C49458BB}"/>
                <c:ext xmlns:c16="http://schemas.microsoft.com/office/drawing/2014/chart" uri="{C3380CC4-5D6E-409C-BE32-E72D297353CC}">
                  <c16:uniqueId val="{00000046-DF44-4188-AF73-E0BE162444C8}"/>
                </c:ext>
              </c:extLst>
            </c:dLbl>
            <c:dLbl>
              <c:idx val="21"/>
              <c:delete val="1"/>
              <c:extLst>
                <c:ext xmlns:c15="http://schemas.microsoft.com/office/drawing/2012/chart" uri="{CE6537A1-D6FC-4f65-9D91-7224C49458BB}"/>
                <c:ext xmlns:c16="http://schemas.microsoft.com/office/drawing/2014/chart" uri="{C3380CC4-5D6E-409C-BE32-E72D297353CC}">
                  <c16:uniqueId val="{00000047-DF44-4188-AF73-E0BE162444C8}"/>
                </c:ext>
              </c:extLst>
            </c:dLbl>
            <c:dLbl>
              <c:idx val="22"/>
              <c:delete val="1"/>
              <c:extLst>
                <c:ext xmlns:c15="http://schemas.microsoft.com/office/drawing/2012/chart" uri="{CE6537A1-D6FC-4f65-9D91-7224C49458BB}"/>
                <c:ext xmlns:c16="http://schemas.microsoft.com/office/drawing/2014/chart" uri="{C3380CC4-5D6E-409C-BE32-E72D297353CC}">
                  <c16:uniqueId val="{00000048-DF44-4188-AF73-E0BE162444C8}"/>
                </c:ext>
              </c:extLst>
            </c:dLbl>
            <c:dLbl>
              <c:idx val="23"/>
              <c:delete val="1"/>
              <c:extLst>
                <c:ext xmlns:c15="http://schemas.microsoft.com/office/drawing/2012/chart" uri="{CE6537A1-D6FC-4f65-9D91-7224C49458BB}"/>
                <c:ext xmlns:c16="http://schemas.microsoft.com/office/drawing/2014/chart" uri="{C3380CC4-5D6E-409C-BE32-E72D297353CC}">
                  <c16:uniqueId val="{00000049-DF44-4188-AF73-E0BE162444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ea"/>
                    <a:ea typeface="+mn-ea"/>
                    <a:cs typeface="+mn-cs"/>
                  </a:defRPr>
                </a:pPr>
                <a:endParaRPr lang="zh-CN"/>
              </a:p>
            </c:txPr>
            <c:dLblPos val="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Sheet1!$A$2:$A$25</c:f>
              <c:strCache>
                <c:ptCount val="24"/>
                <c:pt idx="0">
                  <c:v>6点</c:v>
                </c:pt>
                <c:pt idx="1">
                  <c:v>7点</c:v>
                </c:pt>
                <c:pt idx="2">
                  <c:v>8点</c:v>
                </c:pt>
                <c:pt idx="3">
                  <c:v>9点</c:v>
                </c:pt>
                <c:pt idx="4">
                  <c:v>10点</c:v>
                </c:pt>
                <c:pt idx="5">
                  <c:v>11点</c:v>
                </c:pt>
                <c:pt idx="6">
                  <c:v>12点</c:v>
                </c:pt>
                <c:pt idx="7">
                  <c:v>13点</c:v>
                </c:pt>
                <c:pt idx="8">
                  <c:v>14点</c:v>
                </c:pt>
                <c:pt idx="9">
                  <c:v>15点</c:v>
                </c:pt>
                <c:pt idx="10">
                  <c:v>16点</c:v>
                </c:pt>
                <c:pt idx="11">
                  <c:v>17点</c:v>
                </c:pt>
                <c:pt idx="12">
                  <c:v>18点</c:v>
                </c:pt>
                <c:pt idx="13">
                  <c:v>19点</c:v>
                </c:pt>
                <c:pt idx="14">
                  <c:v>20点</c:v>
                </c:pt>
                <c:pt idx="15">
                  <c:v>21点</c:v>
                </c:pt>
                <c:pt idx="16">
                  <c:v>22点</c:v>
                </c:pt>
                <c:pt idx="17">
                  <c:v>23点</c:v>
                </c:pt>
                <c:pt idx="18">
                  <c:v>0点</c:v>
                </c:pt>
                <c:pt idx="19">
                  <c:v>1点</c:v>
                </c:pt>
                <c:pt idx="20">
                  <c:v>2点</c:v>
                </c:pt>
                <c:pt idx="21">
                  <c:v>3点</c:v>
                </c:pt>
                <c:pt idx="22">
                  <c:v>4点</c:v>
                </c:pt>
                <c:pt idx="23">
                  <c:v>5点</c:v>
                </c:pt>
              </c:strCache>
            </c:strRef>
          </c:cat>
          <c:val>
            <c:numRef>
              <c:f>Sheet1!$D$2:$D$25</c:f>
              <c:numCache>
                <c:formatCode>0.00%</c:formatCode>
                <c:ptCount val="24"/>
                <c:pt idx="0">
                  <c:v>2.3863333333333299E-2</c:v>
                </c:pt>
                <c:pt idx="1">
                  <c:v>3.4119999999999998E-2</c:v>
                </c:pt>
                <c:pt idx="2">
                  <c:v>4.11266666666667E-2</c:v>
                </c:pt>
                <c:pt idx="3">
                  <c:v>4.4470000000000003E-2</c:v>
                </c:pt>
                <c:pt idx="4">
                  <c:v>4.7743333333333297E-2</c:v>
                </c:pt>
                <c:pt idx="5">
                  <c:v>5.305E-2</c:v>
                </c:pt>
                <c:pt idx="6">
                  <c:v>6.0510000000000001E-2</c:v>
                </c:pt>
                <c:pt idx="7">
                  <c:v>5.1979999999999998E-2</c:v>
                </c:pt>
                <c:pt idx="8">
                  <c:v>4.9663333333333302E-2</c:v>
                </c:pt>
                <c:pt idx="9">
                  <c:v>4.9399999999999999E-2</c:v>
                </c:pt>
                <c:pt idx="10">
                  <c:v>4.9706666666666698E-2</c:v>
                </c:pt>
                <c:pt idx="11">
                  <c:v>5.1090000000000003E-2</c:v>
                </c:pt>
                <c:pt idx="12">
                  <c:v>5.3496666666666699E-2</c:v>
                </c:pt>
                <c:pt idx="13">
                  <c:v>5.4333333333333303E-2</c:v>
                </c:pt>
                <c:pt idx="14">
                  <c:v>5.5973333333333299E-2</c:v>
                </c:pt>
                <c:pt idx="15">
                  <c:v>5.4550000000000001E-2</c:v>
                </c:pt>
                <c:pt idx="16">
                  <c:v>4.8206666666666703E-2</c:v>
                </c:pt>
                <c:pt idx="17">
                  <c:v>3.1060000000000001E-2</c:v>
                </c:pt>
                <c:pt idx="18">
                  <c:v>5.1066666666666698E-2</c:v>
                </c:pt>
                <c:pt idx="19">
                  <c:v>2.7826666666666701E-2</c:v>
                </c:pt>
                <c:pt idx="20">
                  <c:v>1.9910000000000001E-2</c:v>
                </c:pt>
                <c:pt idx="21">
                  <c:v>1.54166666666667E-2</c:v>
                </c:pt>
                <c:pt idx="22">
                  <c:v>1.4160000000000001E-2</c:v>
                </c:pt>
                <c:pt idx="23">
                  <c:v>1.7239999999999998E-2</c:v>
                </c:pt>
              </c:numCache>
            </c:numRef>
          </c:val>
          <c:smooth val="1"/>
          <c:extLst>
            <c:ext xmlns:c16="http://schemas.microsoft.com/office/drawing/2014/chart" uri="{C3380CC4-5D6E-409C-BE32-E72D297353CC}">
              <c16:uniqueId val="{0000004A-DF44-4188-AF73-E0BE162444C8}"/>
            </c:ext>
          </c:extLst>
        </c:ser>
        <c:ser>
          <c:idx val="3"/>
          <c:order val="3"/>
          <c:tx>
            <c:strRef>
              <c:f>Sheet1!$E$1</c:f>
              <c:strCache>
                <c:ptCount val="1"/>
                <c:pt idx="0">
                  <c:v>网络支付</c:v>
                </c:pt>
              </c:strCache>
            </c:strRef>
          </c:tx>
          <c:spPr>
            <a:ln w="15875" cap="rnd" cmpd="sng" algn="ctr">
              <a:solidFill>
                <a:srgbClr val="1F497D">
                  <a:lumMod val="50000"/>
                </a:srgbClr>
              </a:solidFill>
              <a:prstDash val="dash"/>
              <a:roun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4B-DF44-4188-AF73-E0BE162444C8}"/>
                </c:ext>
              </c:extLst>
            </c:dLbl>
            <c:dLbl>
              <c:idx val="1"/>
              <c:delete val="1"/>
              <c:extLst>
                <c:ext xmlns:c15="http://schemas.microsoft.com/office/drawing/2012/chart" uri="{CE6537A1-D6FC-4f65-9D91-7224C49458BB}"/>
                <c:ext xmlns:c16="http://schemas.microsoft.com/office/drawing/2014/chart" uri="{C3380CC4-5D6E-409C-BE32-E72D297353CC}">
                  <c16:uniqueId val="{0000004C-DF44-4188-AF73-E0BE162444C8}"/>
                </c:ext>
              </c:extLst>
            </c:dLbl>
            <c:dLbl>
              <c:idx val="2"/>
              <c:delete val="1"/>
              <c:extLst>
                <c:ext xmlns:c15="http://schemas.microsoft.com/office/drawing/2012/chart" uri="{CE6537A1-D6FC-4f65-9D91-7224C49458BB}"/>
                <c:ext xmlns:c16="http://schemas.microsoft.com/office/drawing/2014/chart" uri="{C3380CC4-5D6E-409C-BE32-E72D297353CC}">
                  <c16:uniqueId val="{0000004D-DF44-4188-AF73-E0BE162444C8}"/>
                </c:ext>
              </c:extLst>
            </c:dLbl>
            <c:dLbl>
              <c:idx val="3"/>
              <c:delete val="1"/>
              <c:extLst>
                <c:ext xmlns:c15="http://schemas.microsoft.com/office/drawing/2012/chart" uri="{CE6537A1-D6FC-4f65-9D91-7224C49458BB}"/>
                <c:ext xmlns:c16="http://schemas.microsoft.com/office/drawing/2014/chart" uri="{C3380CC4-5D6E-409C-BE32-E72D297353CC}">
                  <c16:uniqueId val="{0000004E-DF44-4188-AF73-E0BE162444C8}"/>
                </c:ext>
              </c:extLst>
            </c:dLbl>
            <c:dLbl>
              <c:idx val="4"/>
              <c:delete val="1"/>
              <c:extLst>
                <c:ext xmlns:c15="http://schemas.microsoft.com/office/drawing/2012/chart" uri="{CE6537A1-D6FC-4f65-9D91-7224C49458BB}"/>
                <c:ext xmlns:c16="http://schemas.microsoft.com/office/drawing/2014/chart" uri="{C3380CC4-5D6E-409C-BE32-E72D297353CC}">
                  <c16:uniqueId val="{0000004F-DF44-4188-AF73-E0BE162444C8}"/>
                </c:ext>
              </c:extLst>
            </c:dLbl>
            <c:dLbl>
              <c:idx val="5"/>
              <c:delete val="1"/>
              <c:extLst>
                <c:ext xmlns:c15="http://schemas.microsoft.com/office/drawing/2012/chart" uri="{CE6537A1-D6FC-4f65-9D91-7224C49458BB}"/>
                <c:ext xmlns:c16="http://schemas.microsoft.com/office/drawing/2014/chart" uri="{C3380CC4-5D6E-409C-BE32-E72D297353CC}">
                  <c16:uniqueId val="{00000050-DF44-4188-AF73-E0BE162444C8}"/>
                </c:ext>
              </c:extLst>
            </c:dLbl>
            <c:dLbl>
              <c:idx val="6"/>
              <c:delete val="1"/>
              <c:extLst>
                <c:ext xmlns:c15="http://schemas.microsoft.com/office/drawing/2012/chart" uri="{CE6537A1-D6FC-4f65-9D91-7224C49458BB}"/>
                <c:ext xmlns:c16="http://schemas.microsoft.com/office/drawing/2014/chart" uri="{C3380CC4-5D6E-409C-BE32-E72D297353CC}">
                  <c16:uniqueId val="{00000051-DF44-4188-AF73-E0BE162444C8}"/>
                </c:ext>
              </c:extLst>
            </c:dLbl>
            <c:dLbl>
              <c:idx val="7"/>
              <c:delete val="1"/>
              <c:extLst>
                <c:ext xmlns:c15="http://schemas.microsoft.com/office/drawing/2012/chart" uri="{CE6537A1-D6FC-4f65-9D91-7224C49458BB}"/>
                <c:ext xmlns:c16="http://schemas.microsoft.com/office/drawing/2014/chart" uri="{C3380CC4-5D6E-409C-BE32-E72D297353CC}">
                  <c16:uniqueId val="{00000052-DF44-4188-AF73-E0BE162444C8}"/>
                </c:ext>
              </c:extLst>
            </c:dLbl>
            <c:dLbl>
              <c:idx val="8"/>
              <c:delete val="1"/>
              <c:extLst>
                <c:ext xmlns:c15="http://schemas.microsoft.com/office/drawing/2012/chart" uri="{CE6537A1-D6FC-4f65-9D91-7224C49458BB}"/>
                <c:ext xmlns:c16="http://schemas.microsoft.com/office/drawing/2014/chart" uri="{C3380CC4-5D6E-409C-BE32-E72D297353CC}">
                  <c16:uniqueId val="{00000053-DF44-4188-AF73-E0BE162444C8}"/>
                </c:ext>
              </c:extLst>
            </c:dLbl>
            <c:dLbl>
              <c:idx val="9"/>
              <c:delete val="1"/>
              <c:extLst>
                <c:ext xmlns:c15="http://schemas.microsoft.com/office/drawing/2012/chart" uri="{CE6537A1-D6FC-4f65-9D91-7224C49458BB}"/>
                <c:ext xmlns:c16="http://schemas.microsoft.com/office/drawing/2014/chart" uri="{C3380CC4-5D6E-409C-BE32-E72D297353CC}">
                  <c16:uniqueId val="{00000054-DF44-4188-AF73-E0BE162444C8}"/>
                </c:ext>
              </c:extLst>
            </c:dLbl>
            <c:dLbl>
              <c:idx val="10"/>
              <c:delete val="1"/>
              <c:extLst>
                <c:ext xmlns:c15="http://schemas.microsoft.com/office/drawing/2012/chart" uri="{CE6537A1-D6FC-4f65-9D91-7224C49458BB}"/>
                <c:ext xmlns:c16="http://schemas.microsoft.com/office/drawing/2014/chart" uri="{C3380CC4-5D6E-409C-BE32-E72D297353CC}">
                  <c16:uniqueId val="{00000055-DF44-4188-AF73-E0BE162444C8}"/>
                </c:ext>
              </c:extLst>
            </c:dLbl>
            <c:dLbl>
              <c:idx val="11"/>
              <c:delete val="1"/>
              <c:extLst>
                <c:ext xmlns:c15="http://schemas.microsoft.com/office/drawing/2012/chart" uri="{CE6537A1-D6FC-4f65-9D91-7224C49458BB}"/>
                <c:ext xmlns:c16="http://schemas.microsoft.com/office/drawing/2014/chart" uri="{C3380CC4-5D6E-409C-BE32-E72D297353CC}">
                  <c16:uniqueId val="{00000056-DF44-4188-AF73-E0BE162444C8}"/>
                </c:ext>
              </c:extLst>
            </c:dLbl>
            <c:dLbl>
              <c:idx val="12"/>
              <c:layout>
                <c:manualLayout>
                  <c:x val="-7.1917808219178106E-2"/>
                  <c:y val="0.103092918797521"/>
                </c:manualLayout>
              </c:layout>
              <c:tx>
                <c:rich>
                  <a:bodyPr/>
                  <a:lstStyle/>
                  <a:p>
                    <a:r>
                      <a:rPr lang="zh-CN" altLang="en-US"/>
                      <a:t>网络支付</a:t>
                    </a:r>
                  </a:p>
                </c:rich>
              </c:tx>
              <c:dLblPos val="r"/>
              <c:showLegendKey val="0"/>
              <c:showVal val="1"/>
              <c:showCatName val="0"/>
              <c:showSerName val="0"/>
              <c:showPercent val="0"/>
              <c:showBubbleSize val="0"/>
              <c:extLst>
                <c:ext xmlns:c15="http://schemas.microsoft.com/office/drawing/2012/chart" uri="{CE6537A1-D6FC-4f65-9D91-7224C49458BB}">
                  <c15:layout>
                    <c:manualLayout>
                      <c:w val="0.112751051666487"/>
                      <c:h val="4.8058554536353E-2"/>
                    </c:manualLayout>
                  </c15:layout>
                  <c15:showDataLabelsRange val="0"/>
                </c:ext>
                <c:ext xmlns:c16="http://schemas.microsoft.com/office/drawing/2014/chart" uri="{C3380CC4-5D6E-409C-BE32-E72D297353CC}">
                  <c16:uniqueId val="{00000057-DF44-4188-AF73-E0BE162444C8}"/>
                </c:ext>
              </c:extLst>
            </c:dLbl>
            <c:dLbl>
              <c:idx val="13"/>
              <c:delete val="1"/>
              <c:extLst>
                <c:ext xmlns:c15="http://schemas.microsoft.com/office/drawing/2012/chart" uri="{CE6537A1-D6FC-4f65-9D91-7224C49458BB}"/>
                <c:ext xmlns:c16="http://schemas.microsoft.com/office/drawing/2014/chart" uri="{C3380CC4-5D6E-409C-BE32-E72D297353CC}">
                  <c16:uniqueId val="{00000058-DF44-4188-AF73-E0BE162444C8}"/>
                </c:ext>
              </c:extLst>
            </c:dLbl>
            <c:dLbl>
              <c:idx val="14"/>
              <c:delete val="1"/>
              <c:extLst>
                <c:ext xmlns:c15="http://schemas.microsoft.com/office/drawing/2012/chart" uri="{CE6537A1-D6FC-4f65-9D91-7224C49458BB}"/>
                <c:ext xmlns:c16="http://schemas.microsoft.com/office/drawing/2014/chart" uri="{C3380CC4-5D6E-409C-BE32-E72D297353CC}">
                  <c16:uniqueId val="{00000059-DF44-4188-AF73-E0BE162444C8}"/>
                </c:ext>
              </c:extLst>
            </c:dLbl>
            <c:dLbl>
              <c:idx val="15"/>
              <c:delete val="1"/>
              <c:extLst>
                <c:ext xmlns:c15="http://schemas.microsoft.com/office/drawing/2012/chart" uri="{CE6537A1-D6FC-4f65-9D91-7224C49458BB}"/>
                <c:ext xmlns:c16="http://schemas.microsoft.com/office/drawing/2014/chart" uri="{C3380CC4-5D6E-409C-BE32-E72D297353CC}">
                  <c16:uniqueId val="{0000005A-DF44-4188-AF73-E0BE162444C8}"/>
                </c:ext>
              </c:extLst>
            </c:dLbl>
            <c:dLbl>
              <c:idx val="16"/>
              <c:delete val="1"/>
              <c:extLst>
                <c:ext xmlns:c15="http://schemas.microsoft.com/office/drawing/2012/chart" uri="{CE6537A1-D6FC-4f65-9D91-7224C49458BB}"/>
                <c:ext xmlns:c16="http://schemas.microsoft.com/office/drawing/2014/chart" uri="{C3380CC4-5D6E-409C-BE32-E72D297353CC}">
                  <c16:uniqueId val="{0000005B-DF44-4188-AF73-E0BE162444C8}"/>
                </c:ext>
              </c:extLst>
            </c:dLbl>
            <c:dLbl>
              <c:idx val="17"/>
              <c:delete val="1"/>
              <c:extLst>
                <c:ext xmlns:c15="http://schemas.microsoft.com/office/drawing/2012/chart" uri="{CE6537A1-D6FC-4f65-9D91-7224C49458BB}"/>
                <c:ext xmlns:c16="http://schemas.microsoft.com/office/drawing/2014/chart" uri="{C3380CC4-5D6E-409C-BE32-E72D297353CC}">
                  <c16:uniqueId val="{0000005C-DF44-4188-AF73-E0BE162444C8}"/>
                </c:ext>
              </c:extLst>
            </c:dLbl>
            <c:dLbl>
              <c:idx val="18"/>
              <c:delete val="1"/>
              <c:extLst>
                <c:ext xmlns:c15="http://schemas.microsoft.com/office/drawing/2012/chart" uri="{CE6537A1-D6FC-4f65-9D91-7224C49458BB}"/>
                <c:ext xmlns:c16="http://schemas.microsoft.com/office/drawing/2014/chart" uri="{C3380CC4-5D6E-409C-BE32-E72D297353CC}">
                  <c16:uniqueId val="{0000005D-DF44-4188-AF73-E0BE162444C8}"/>
                </c:ext>
              </c:extLst>
            </c:dLbl>
            <c:dLbl>
              <c:idx val="19"/>
              <c:delete val="1"/>
              <c:extLst>
                <c:ext xmlns:c15="http://schemas.microsoft.com/office/drawing/2012/chart" uri="{CE6537A1-D6FC-4f65-9D91-7224C49458BB}"/>
                <c:ext xmlns:c16="http://schemas.microsoft.com/office/drawing/2014/chart" uri="{C3380CC4-5D6E-409C-BE32-E72D297353CC}">
                  <c16:uniqueId val="{0000005E-DF44-4188-AF73-E0BE162444C8}"/>
                </c:ext>
              </c:extLst>
            </c:dLbl>
            <c:dLbl>
              <c:idx val="20"/>
              <c:delete val="1"/>
              <c:extLst>
                <c:ext xmlns:c15="http://schemas.microsoft.com/office/drawing/2012/chart" uri="{CE6537A1-D6FC-4f65-9D91-7224C49458BB}"/>
                <c:ext xmlns:c16="http://schemas.microsoft.com/office/drawing/2014/chart" uri="{C3380CC4-5D6E-409C-BE32-E72D297353CC}">
                  <c16:uniqueId val="{0000005F-DF44-4188-AF73-E0BE162444C8}"/>
                </c:ext>
              </c:extLst>
            </c:dLbl>
            <c:dLbl>
              <c:idx val="21"/>
              <c:delete val="1"/>
              <c:extLst>
                <c:ext xmlns:c15="http://schemas.microsoft.com/office/drawing/2012/chart" uri="{CE6537A1-D6FC-4f65-9D91-7224C49458BB}"/>
                <c:ext xmlns:c16="http://schemas.microsoft.com/office/drawing/2014/chart" uri="{C3380CC4-5D6E-409C-BE32-E72D297353CC}">
                  <c16:uniqueId val="{00000060-DF44-4188-AF73-E0BE162444C8}"/>
                </c:ext>
              </c:extLst>
            </c:dLbl>
            <c:dLbl>
              <c:idx val="22"/>
              <c:delete val="1"/>
              <c:extLst>
                <c:ext xmlns:c15="http://schemas.microsoft.com/office/drawing/2012/chart" uri="{CE6537A1-D6FC-4f65-9D91-7224C49458BB}"/>
                <c:ext xmlns:c16="http://schemas.microsoft.com/office/drawing/2014/chart" uri="{C3380CC4-5D6E-409C-BE32-E72D297353CC}">
                  <c16:uniqueId val="{00000061-DF44-4188-AF73-E0BE162444C8}"/>
                </c:ext>
              </c:extLst>
            </c:dLbl>
            <c:dLbl>
              <c:idx val="23"/>
              <c:delete val="1"/>
              <c:extLst>
                <c:ext xmlns:c15="http://schemas.microsoft.com/office/drawing/2012/chart" uri="{CE6537A1-D6FC-4f65-9D91-7224C49458BB}"/>
                <c:ext xmlns:c16="http://schemas.microsoft.com/office/drawing/2014/chart" uri="{C3380CC4-5D6E-409C-BE32-E72D297353CC}">
                  <c16:uniqueId val="{00000062-DF44-4188-AF73-E0BE162444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ea"/>
                    <a:ea typeface="+mn-ea"/>
                    <a:cs typeface="+mn-cs"/>
                  </a:defRPr>
                </a:pPr>
                <a:endParaRPr lang="zh-CN"/>
              </a:p>
            </c:txPr>
            <c:dLblPos val="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Sheet1!$A$2:$A$25</c:f>
              <c:strCache>
                <c:ptCount val="24"/>
                <c:pt idx="0">
                  <c:v>6点</c:v>
                </c:pt>
                <c:pt idx="1">
                  <c:v>7点</c:v>
                </c:pt>
                <c:pt idx="2">
                  <c:v>8点</c:v>
                </c:pt>
                <c:pt idx="3">
                  <c:v>9点</c:v>
                </c:pt>
                <c:pt idx="4">
                  <c:v>10点</c:v>
                </c:pt>
                <c:pt idx="5">
                  <c:v>11点</c:v>
                </c:pt>
                <c:pt idx="6">
                  <c:v>12点</c:v>
                </c:pt>
                <c:pt idx="7">
                  <c:v>13点</c:v>
                </c:pt>
                <c:pt idx="8">
                  <c:v>14点</c:v>
                </c:pt>
                <c:pt idx="9">
                  <c:v>15点</c:v>
                </c:pt>
                <c:pt idx="10">
                  <c:v>16点</c:v>
                </c:pt>
                <c:pt idx="11">
                  <c:v>17点</c:v>
                </c:pt>
                <c:pt idx="12">
                  <c:v>18点</c:v>
                </c:pt>
                <c:pt idx="13">
                  <c:v>19点</c:v>
                </c:pt>
                <c:pt idx="14">
                  <c:v>20点</c:v>
                </c:pt>
                <c:pt idx="15">
                  <c:v>21点</c:v>
                </c:pt>
                <c:pt idx="16">
                  <c:v>22点</c:v>
                </c:pt>
                <c:pt idx="17">
                  <c:v>23点</c:v>
                </c:pt>
                <c:pt idx="18">
                  <c:v>0点</c:v>
                </c:pt>
                <c:pt idx="19">
                  <c:v>1点</c:v>
                </c:pt>
                <c:pt idx="20">
                  <c:v>2点</c:v>
                </c:pt>
                <c:pt idx="21">
                  <c:v>3点</c:v>
                </c:pt>
                <c:pt idx="22">
                  <c:v>4点</c:v>
                </c:pt>
                <c:pt idx="23">
                  <c:v>5点</c:v>
                </c:pt>
              </c:strCache>
            </c:strRef>
          </c:cat>
          <c:val>
            <c:numRef>
              <c:f>Sheet1!$E$2:$E$25</c:f>
              <c:numCache>
                <c:formatCode>0.00%</c:formatCode>
                <c:ptCount val="24"/>
                <c:pt idx="0">
                  <c:v>2.5819999999999999E-2</c:v>
                </c:pt>
                <c:pt idx="1">
                  <c:v>4.1493333333333299E-2</c:v>
                </c:pt>
                <c:pt idx="2">
                  <c:v>5.0319999999999997E-2</c:v>
                </c:pt>
                <c:pt idx="3">
                  <c:v>5.34633333333333E-2</c:v>
                </c:pt>
                <c:pt idx="4">
                  <c:v>5.6156666666666702E-2</c:v>
                </c:pt>
                <c:pt idx="5">
                  <c:v>5.8823333333333297E-2</c:v>
                </c:pt>
                <c:pt idx="6">
                  <c:v>5.6689999999999997E-2</c:v>
                </c:pt>
                <c:pt idx="7">
                  <c:v>5.1959999999999999E-2</c:v>
                </c:pt>
                <c:pt idx="8">
                  <c:v>5.2819999999999999E-2</c:v>
                </c:pt>
                <c:pt idx="9">
                  <c:v>5.4050000000000001E-2</c:v>
                </c:pt>
                <c:pt idx="10">
                  <c:v>5.5350000000000003E-2</c:v>
                </c:pt>
                <c:pt idx="11">
                  <c:v>5.7206666666666697E-2</c:v>
                </c:pt>
                <c:pt idx="12">
                  <c:v>5.6206666666666703E-2</c:v>
                </c:pt>
                <c:pt idx="13">
                  <c:v>5.22833333333333E-2</c:v>
                </c:pt>
                <c:pt idx="14">
                  <c:v>4.8743333333333298E-2</c:v>
                </c:pt>
                <c:pt idx="15">
                  <c:v>4.2933333333333303E-2</c:v>
                </c:pt>
                <c:pt idx="16">
                  <c:v>3.8830000000000003E-2</c:v>
                </c:pt>
                <c:pt idx="17">
                  <c:v>2.844E-2</c:v>
                </c:pt>
                <c:pt idx="18">
                  <c:v>3.0499999999999999E-2</c:v>
                </c:pt>
                <c:pt idx="19">
                  <c:v>2.2026666666666701E-2</c:v>
                </c:pt>
                <c:pt idx="20">
                  <c:v>1.7639999999999999E-2</c:v>
                </c:pt>
                <c:pt idx="21">
                  <c:v>1.5293333333333299E-2</c:v>
                </c:pt>
                <c:pt idx="22">
                  <c:v>1.491E-2</c:v>
                </c:pt>
                <c:pt idx="23">
                  <c:v>1.7856666666666701E-2</c:v>
                </c:pt>
              </c:numCache>
            </c:numRef>
          </c:val>
          <c:smooth val="1"/>
          <c:extLst>
            <c:ext xmlns:c16="http://schemas.microsoft.com/office/drawing/2014/chart" uri="{C3380CC4-5D6E-409C-BE32-E72D297353CC}">
              <c16:uniqueId val="{00000063-DF44-4188-AF73-E0BE162444C8}"/>
            </c:ext>
          </c:extLst>
        </c:ser>
        <c:ser>
          <c:idx val="4"/>
          <c:order val="4"/>
          <c:tx>
            <c:strRef>
              <c:f>Sheet1!$F$1</c:f>
              <c:strCache>
                <c:ptCount val="1"/>
                <c:pt idx="0">
                  <c:v>网上外卖</c:v>
                </c:pt>
              </c:strCache>
            </c:strRef>
          </c:tx>
          <c:spPr>
            <a:ln w="22225" cap="rnd" cmpd="sng" algn="ctr">
              <a:solidFill>
                <a:srgbClr val="00B050"/>
              </a:solidFill>
              <a:prstDash val="lgDash"/>
              <a:roun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64-DF44-4188-AF73-E0BE162444C8}"/>
                </c:ext>
              </c:extLst>
            </c:dLbl>
            <c:dLbl>
              <c:idx val="1"/>
              <c:delete val="1"/>
              <c:extLst>
                <c:ext xmlns:c15="http://schemas.microsoft.com/office/drawing/2012/chart" uri="{CE6537A1-D6FC-4f65-9D91-7224C49458BB}"/>
                <c:ext xmlns:c16="http://schemas.microsoft.com/office/drawing/2014/chart" uri="{C3380CC4-5D6E-409C-BE32-E72D297353CC}">
                  <c16:uniqueId val="{00000065-DF44-4188-AF73-E0BE162444C8}"/>
                </c:ext>
              </c:extLst>
            </c:dLbl>
            <c:dLbl>
              <c:idx val="2"/>
              <c:delete val="1"/>
              <c:extLst>
                <c:ext xmlns:c15="http://schemas.microsoft.com/office/drawing/2012/chart" uri="{CE6537A1-D6FC-4f65-9D91-7224C49458BB}"/>
                <c:ext xmlns:c16="http://schemas.microsoft.com/office/drawing/2014/chart" uri="{C3380CC4-5D6E-409C-BE32-E72D297353CC}">
                  <c16:uniqueId val="{00000066-DF44-4188-AF73-E0BE162444C8}"/>
                </c:ext>
              </c:extLst>
            </c:dLbl>
            <c:dLbl>
              <c:idx val="3"/>
              <c:delete val="1"/>
              <c:extLst>
                <c:ext xmlns:c15="http://schemas.microsoft.com/office/drawing/2012/chart" uri="{CE6537A1-D6FC-4f65-9D91-7224C49458BB}"/>
                <c:ext xmlns:c16="http://schemas.microsoft.com/office/drawing/2014/chart" uri="{C3380CC4-5D6E-409C-BE32-E72D297353CC}">
                  <c16:uniqueId val="{00000067-DF44-4188-AF73-E0BE162444C8}"/>
                </c:ext>
              </c:extLst>
            </c:dLbl>
            <c:dLbl>
              <c:idx val="4"/>
              <c:delete val="1"/>
              <c:extLst>
                <c:ext xmlns:c15="http://schemas.microsoft.com/office/drawing/2012/chart" uri="{CE6537A1-D6FC-4f65-9D91-7224C49458BB}"/>
                <c:ext xmlns:c16="http://schemas.microsoft.com/office/drawing/2014/chart" uri="{C3380CC4-5D6E-409C-BE32-E72D297353CC}">
                  <c16:uniqueId val="{00000068-DF44-4188-AF73-E0BE162444C8}"/>
                </c:ext>
              </c:extLst>
            </c:dLbl>
            <c:dLbl>
              <c:idx val="5"/>
              <c:layout>
                <c:manualLayout>
                  <c:x val="-5.2511415525114201E-2"/>
                  <c:y val="-4.1237113402061903E-2"/>
                </c:manualLayout>
              </c:layout>
              <c:tx>
                <c:rich>
                  <a:bodyPr/>
                  <a:lstStyle/>
                  <a:p>
                    <a:fld id="{3C3C0CB9-9C64-4F49-89D0-47ECAEFF5108}" type="SERIESNAME">
                      <a:rPr lang="zh-CN" altLang="en-US"/>
                      <a:pPr/>
                      <a:t>[系列名称]</a:t>
                    </a:fld>
                    <a:endParaRPr lang="zh-CN" alt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69-DF44-4188-AF73-E0BE162444C8}"/>
                </c:ext>
              </c:extLst>
            </c:dLbl>
            <c:dLbl>
              <c:idx val="6"/>
              <c:delete val="1"/>
              <c:extLst>
                <c:ext xmlns:c15="http://schemas.microsoft.com/office/drawing/2012/chart" uri="{CE6537A1-D6FC-4f65-9D91-7224C49458BB}"/>
                <c:ext xmlns:c16="http://schemas.microsoft.com/office/drawing/2014/chart" uri="{C3380CC4-5D6E-409C-BE32-E72D297353CC}">
                  <c16:uniqueId val="{0000006A-DF44-4188-AF73-E0BE162444C8}"/>
                </c:ext>
              </c:extLst>
            </c:dLbl>
            <c:dLbl>
              <c:idx val="7"/>
              <c:delete val="1"/>
              <c:extLst>
                <c:ext xmlns:c15="http://schemas.microsoft.com/office/drawing/2012/chart" uri="{CE6537A1-D6FC-4f65-9D91-7224C49458BB}"/>
                <c:ext xmlns:c16="http://schemas.microsoft.com/office/drawing/2014/chart" uri="{C3380CC4-5D6E-409C-BE32-E72D297353CC}">
                  <c16:uniqueId val="{0000006B-DF44-4188-AF73-E0BE162444C8}"/>
                </c:ext>
              </c:extLst>
            </c:dLbl>
            <c:dLbl>
              <c:idx val="8"/>
              <c:delete val="1"/>
              <c:extLst>
                <c:ext xmlns:c15="http://schemas.microsoft.com/office/drawing/2012/chart" uri="{CE6537A1-D6FC-4f65-9D91-7224C49458BB}"/>
                <c:ext xmlns:c16="http://schemas.microsoft.com/office/drawing/2014/chart" uri="{C3380CC4-5D6E-409C-BE32-E72D297353CC}">
                  <c16:uniqueId val="{0000006C-DF44-4188-AF73-E0BE162444C8}"/>
                </c:ext>
              </c:extLst>
            </c:dLbl>
            <c:dLbl>
              <c:idx val="9"/>
              <c:delete val="1"/>
              <c:extLst>
                <c:ext xmlns:c15="http://schemas.microsoft.com/office/drawing/2012/chart" uri="{CE6537A1-D6FC-4f65-9D91-7224C49458BB}"/>
                <c:ext xmlns:c16="http://schemas.microsoft.com/office/drawing/2014/chart" uri="{C3380CC4-5D6E-409C-BE32-E72D297353CC}">
                  <c16:uniqueId val="{0000006D-DF44-4188-AF73-E0BE162444C8}"/>
                </c:ext>
              </c:extLst>
            </c:dLbl>
            <c:dLbl>
              <c:idx val="10"/>
              <c:delete val="1"/>
              <c:extLst>
                <c:ext xmlns:c15="http://schemas.microsoft.com/office/drawing/2012/chart" uri="{CE6537A1-D6FC-4f65-9D91-7224C49458BB}"/>
                <c:ext xmlns:c16="http://schemas.microsoft.com/office/drawing/2014/chart" uri="{C3380CC4-5D6E-409C-BE32-E72D297353CC}">
                  <c16:uniqueId val="{0000006E-DF44-4188-AF73-E0BE162444C8}"/>
                </c:ext>
              </c:extLst>
            </c:dLbl>
            <c:dLbl>
              <c:idx val="11"/>
              <c:delete val="1"/>
              <c:extLst>
                <c:ext xmlns:c15="http://schemas.microsoft.com/office/drawing/2012/chart" uri="{CE6537A1-D6FC-4f65-9D91-7224C49458BB}"/>
                <c:ext xmlns:c16="http://schemas.microsoft.com/office/drawing/2014/chart" uri="{C3380CC4-5D6E-409C-BE32-E72D297353CC}">
                  <c16:uniqueId val="{0000006F-DF44-4188-AF73-E0BE162444C8}"/>
                </c:ext>
              </c:extLst>
            </c:dLbl>
            <c:dLbl>
              <c:idx val="12"/>
              <c:delete val="1"/>
              <c:extLst>
                <c:ext xmlns:c15="http://schemas.microsoft.com/office/drawing/2012/chart" uri="{CE6537A1-D6FC-4f65-9D91-7224C49458BB}"/>
                <c:ext xmlns:c16="http://schemas.microsoft.com/office/drawing/2014/chart" uri="{C3380CC4-5D6E-409C-BE32-E72D297353CC}">
                  <c16:uniqueId val="{00000070-DF44-4188-AF73-E0BE162444C8}"/>
                </c:ext>
              </c:extLst>
            </c:dLbl>
            <c:dLbl>
              <c:idx val="13"/>
              <c:delete val="1"/>
              <c:extLst>
                <c:ext xmlns:c15="http://schemas.microsoft.com/office/drawing/2012/chart" uri="{CE6537A1-D6FC-4f65-9D91-7224C49458BB}"/>
                <c:ext xmlns:c16="http://schemas.microsoft.com/office/drawing/2014/chart" uri="{C3380CC4-5D6E-409C-BE32-E72D297353CC}">
                  <c16:uniqueId val="{00000071-DF44-4188-AF73-E0BE162444C8}"/>
                </c:ext>
              </c:extLst>
            </c:dLbl>
            <c:dLbl>
              <c:idx val="14"/>
              <c:delete val="1"/>
              <c:extLst>
                <c:ext xmlns:c15="http://schemas.microsoft.com/office/drawing/2012/chart" uri="{CE6537A1-D6FC-4f65-9D91-7224C49458BB}"/>
                <c:ext xmlns:c16="http://schemas.microsoft.com/office/drawing/2014/chart" uri="{C3380CC4-5D6E-409C-BE32-E72D297353CC}">
                  <c16:uniqueId val="{00000072-DF44-4188-AF73-E0BE162444C8}"/>
                </c:ext>
              </c:extLst>
            </c:dLbl>
            <c:dLbl>
              <c:idx val="15"/>
              <c:delete val="1"/>
              <c:extLst>
                <c:ext xmlns:c15="http://schemas.microsoft.com/office/drawing/2012/chart" uri="{CE6537A1-D6FC-4f65-9D91-7224C49458BB}"/>
                <c:ext xmlns:c16="http://schemas.microsoft.com/office/drawing/2014/chart" uri="{C3380CC4-5D6E-409C-BE32-E72D297353CC}">
                  <c16:uniqueId val="{00000073-DF44-4188-AF73-E0BE162444C8}"/>
                </c:ext>
              </c:extLst>
            </c:dLbl>
            <c:dLbl>
              <c:idx val="16"/>
              <c:delete val="1"/>
              <c:extLst>
                <c:ext xmlns:c15="http://schemas.microsoft.com/office/drawing/2012/chart" uri="{CE6537A1-D6FC-4f65-9D91-7224C49458BB}"/>
                <c:ext xmlns:c16="http://schemas.microsoft.com/office/drawing/2014/chart" uri="{C3380CC4-5D6E-409C-BE32-E72D297353CC}">
                  <c16:uniqueId val="{00000074-DF44-4188-AF73-E0BE162444C8}"/>
                </c:ext>
              </c:extLst>
            </c:dLbl>
            <c:dLbl>
              <c:idx val="17"/>
              <c:delete val="1"/>
              <c:extLst>
                <c:ext xmlns:c15="http://schemas.microsoft.com/office/drawing/2012/chart" uri="{CE6537A1-D6FC-4f65-9D91-7224C49458BB}"/>
                <c:ext xmlns:c16="http://schemas.microsoft.com/office/drawing/2014/chart" uri="{C3380CC4-5D6E-409C-BE32-E72D297353CC}">
                  <c16:uniqueId val="{00000075-DF44-4188-AF73-E0BE162444C8}"/>
                </c:ext>
              </c:extLst>
            </c:dLbl>
            <c:dLbl>
              <c:idx val="18"/>
              <c:delete val="1"/>
              <c:extLst>
                <c:ext xmlns:c15="http://schemas.microsoft.com/office/drawing/2012/chart" uri="{CE6537A1-D6FC-4f65-9D91-7224C49458BB}"/>
                <c:ext xmlns:c16="http://schemas.microsoft.com/office/drawing/2014/chart" uri="{C3380CC4-5D6E-409C-BE32-E72D297353CC}">
                  <c16:uniqueId val="{00000076-DF44-4188-AF73-E0BE162444C8}"/>
                </c:ext>
              </c:extLst>
            </c:dLbl>
            <c:dLbl>
              <c:idx val="19"/>
              <c:delete val="1"/>
              <c:extLst>
                <c:ext xmlns:c15="http://schemas.microsoft.com/office/drawing/2012/chart" uri="{CE6537A1-D6FC-4f65-9D91-7224C49458BB}"/>
                <c:ext xmlns:c16="http://schemas.microsoft.com/office/drawing/2014/chart" uri="{C3380CC4-5D6E-409C-BE32-E72D297353CC}">
                  <c16:uniqueId val="{00000077-DF44-4188-AF73-E0BE162444C8}"/>
                </c:ext>
              </c:extLst>
            </c:dLbl>
            <c:dLbl>
              <c:idx val="20"/>
              <c:delete val="1"/>
              <c:extLst>
                <c:ext xmlns:c15="http://schemas.microsoft.com/office/drawing/2012/chart" uri="{CE6537A1-D6FC-4f65-9D91-7224C49458BB}"/>
                <c:ext xmlns:c16="http://schemas.microsoft.com/office/drawing/2014/chart" uri="{C3380CC4-5D6E-409C-BE32-E72D297353CC}">
                  <c16:uniqueId val="{00000078-DF44-4188-AF73-E0BE162444C8}"/>
                </c:ext>
              </c:extLst>
            </c:dLbl>
            <c:dLbl>
              <c:idx val="21"/>
              <c:delete val="1"/>
              <c:extLst>
                <c:ext xmlns:c15="http://schemas.microsoft.com/office/drawing/2012/chart" uri="{CE6537A1-D6FC-4f65-9D91-7224C49458BB}"/>
                <c:ext xmlns:c16="http://schemas.microsoft.com/office/drawing/2014/chart" uri="{C3380CC4-5D6E-409C-BE32-E72D297353CC}">
                  <c16:uniqueId val="{00000079-DF44-4188-AF73-E0BE162444C8}"/>
                </c:ext>
              </c:extLst>
            </c:dLbl>
            <c:dLbl>
              <c:idx val="22"/>
              <c:delete val="1"/>
              <c:extLst>
                <c:ext xmlns:c15="http://schemas.microsoft.com/office/drawing/2012/chart" uri="{CE6537A1-D6FC-4f65-9D91-7224C49458BB}"/>
                <c:ext xmlns:c16="http://schemas.microsoft.com/office/drawing/2014/chart" uri="{C3380CC4-5D6E-409C-BE32-E72D297353CC}">
                  <c16:uniqueId val="{0000007A-DF44-4188-AF73-E0BE162444C8}"/>
                </c:ext>
              </c:extLst>
            </c:dLbl>
            <c:dLbl>
              <c:idx val="23"/>
              <c:delete val="1"/>
              <c:extLst>
                <c:ext xmlns:c15="http://schemas.microsoft.com/office/drawing/2012/chart" uri="{CE6537A1-D6FC-4f65-9D91-7224C49458BB}"/>
                <c:ext xmlns:c16="http://schemas.microsoft.com/office/drawing/2014/chart" uri="{C3380CC4-5D6E-409C-BE32-E72D297353CC}">
                  <c16:uniqueId val="{0000007B-DF44-4188-AF73-E0BE162444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ea"/>
                    <a:ea typeface="+mn-ea"/>
                    <a:cs typeface="+mn-cs"/>
                  </a:defRPr>
                </a:pPr>
                <a:endParaRPr lang="zh-CN"/>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cat>
            <c:strRef>
              <c:f>Sheet1!$A$2:$A$25</c:f>
              <c:strCache>
                <c:ptCount val="24"/>
                <c:pt idx="0">
                  <c:v>6点</c:v>
                </c:pt>
                <c:pt idx="1">
                  <c:v>7点</c:v>
                </c:pt>
                <c:pt idx="2">
                  <c:v>8点</c:v>
                </c:pt>
                <c:pt idx="3">
                  <c:v>9点</c:v>
                </c:pt>
                <c:pt idx="4">
                  <c:v>10点</c:v>
                </c:pt>
                <c:pt idx="5">
                  <c:v>11点</c:v>
                </c:pt>
                <c:pt idx="6">
                  <c:v>12点</c:v>
                </c:pt>
                <c:pt idx="7">
                  <c:v>13点</c:v>
                </c:pt>
                <c:pt idx="8">
                  <c:v>14点</c:v>
                </c:pt>
                <c:pt idx="9">
                  <c:v>15点</c:v>
                </c:pt>
                <c:pt idx="10">
                  <c:v>16点</c:v>
                </c:pt>
                <c:pt idx="11">
                  <c:v>17点</c:v>
                </c:pt>
                <c:pt idx="12">
                  <c:v>18点</c:v>
                </c:pt>
                <c:pt idx="13">
                  <c:v>19点</c:v>
                </c:pt>
                <c:pt idx="14">
                  <c:v>20点</c:v>
                </c:pt>
                <c:pt idx="15">
                  <c:v>21点</c:v>
                </c:pt>
                <c:pt idx="16">
                  <c:v>22点</c:v>
                </c:pt>
                <c:pt idx="17">
                  <c:v>23点</c:v>
                </c:pt>
                <c:pt idx="18">
                  <c:v>0点</c:v>
                </c:pt>
                <c:pt idx="19">
                  <c:v>1点</c:v>
                </c:pt>
                <c:pt idx="20">
                  <c:v>2点</c:v>
                </c:pt>
                <c:pt idx="21">
                  <c:v>3点</c:v>
                </c:pt>
                <c:pt idx="22">
                  <c:v>4点</c:v>
                </c:pt>
                <c:pt idx="23">
                  <c:v>5点</c:v>
                </c:pt>
              </c:strCache>
            </c:strRef>
          </c:cat>
          <c:val>
            <c:numRef>
              <c:f>Sheet1!$F$2:$F$25</c:f>
              <c:numCache>
                <c:formatCode>0.00%</c:formatCode>
                <c:ptCount val="24"/>
                <c:pt idx="0">
                  <c:v>1.5396666666666701E-2</c:v>
                </c:pt>
                <c:pt idx="1">
                  <c:v>2.4966666666666699E-2</c:v>
                </c:pt>
                <c:pt idx="2">
                  <c:v>3.3263333333333298E-2</c:v>
                </c:pt>
                <c:pt idx="3">
                  <c:v>4.1300000000000003E-2</c:v>
                </c:pt>
                <c:pt idx="4">
                  <c:v>6.6799999999999998E-2</c:v>
                </c:pt>
                <c:pt idx="5">
                  <c:v>8.3940000000000001E-2</c:v>
                </c:pt>
                <c:pt idx="6">
                  <c:v>7.4020000000000002E-2</c:v>
                </c:pt>
                <c:pt idx="7">
                  <c:v>5.66266666666667E-2</c:v>
                </c:pt>
                <c:pt idx="8">
                  <c:v>5.07433333333333E-2</c:v>
                </c:pt>
                <c:pt idx="9">
                  <c:v>5.0509999999999999E-2</c:v>
                </c:pt>
                <c:pt idx="10">
                  <c:v>5.7636666666666697E-2</c:v>
                </c:pt>
                <c:pt idx="11">
                  <c:v>6.9120000000000001E-2</c:v>
                </c:pt>
                <c:pt idx="12">
                  <c:v>7.0226666666666701E-2</c:v>
                </c:pt>
                <c:pt idx="13">
                  <c:v>6.3256666666666697E-2</c:v>
                </c:pt>
                <c:pt idx="14">
                  <c:v>5.339E-2</c:v>
                </c:pt>
                <c:pt idx="15">
                  <c:v>4.3463333333333298E-2</c:v>
                </c:pt>
                <c:pt idx="16">
                  <c:v>3.4470000000000001E-2</c:v>
                </c:pt>
                <c:pt idx="17">
                  <c:v>2.2896666666666701E-2</c:v>
                </c:pt>
                <c:pt idx="18">
                  <c:v>2.6929999999999999E-2</c:v>
                </c:pt>
                <c:pt idx="19">
                  <c:v>1.7646666666666699E-2</c:v>
                </c:pt>
                <c:pt idx="20">
                  <c:v>1.33233333333333E-2</c:v>
                </c:pt>
                <c:pt idx="21">
                  <c:v>1.05933333333333E-2</c:v>
                </c:pt>
                <c:pt idx="22">
                  <c:v>9.2266666666666695E-3</c:v>
                </c:pt>
                <c:pt idx="23">
                  <c:v>1.038E-2</c:v>
                </c:pt>
              </c:numCache>
            </c:numRef>
          </c:val>
          <c:smooth val="1"/>
          <c:extLst>
            <c:ext xmlns:c16="http://schemas.microsoft.com/office/drawing/2014/chart" uri="{C3380CC4-5D6E-409C-BE32-E72D297353CC}">
              <c16:uniqueId val="{0000007C-DF44-4188-AF73-E0BE162444C8}"/>
            </c:ext>
          </c:extLst>
        </c:ser>
        <c:dLbls>
          <c:showLegendKey val="0"/>
          <c:showVal val="0"/>
          <c:showCatName val="0"/>
          <c:showSerName val="0"/>
          <c:showPercent val="0"/>
          <c:showBubbleSize val="0"/>
        </c:dLbls>
        <c:smooth val="0"/>
        <c:axId val="517269504"/>
        <c:axId val="517266704"/>
      </c:lineChart>
      <c:catAx>
        <c:axId val="517269504"/>
        <c:scaling>
          <c:orientation val="minMax"/>
        </c:scaling>
        <c:delete val="0"/>
        <c:axPos val="b"/>
        <c:numFmt formatCode="General" sourceLinked="0"/>
        <c:majorTickMark val="out"/>
        <c:minorTickMark val="none"/>
        <c:tickLblPos val="nextTo"/>
        <c:spPr>
          <a:ln w="6350" cap="flat" cmpd="sng" algn="ctr">
            <a:solidFill>
              <a:srgbClr val="898989"/>
            </a:solidFill>
            <a:prstDash val="solid"/>
            <a:round/>
          </a:ln>
        </c:spPr>
        <c:txPr>
          <a:bodyPr rot="240000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517266704"/>
        <c:crosses val="autoZero"/>
        <c:auto val="1"/>
        <c:lblAlgn val="ctr"/>
        <c:lblOffset val="100"/>
        <c:noMultiLvlLbl val="0"/>
      </c:catAx>
      <c:valAx>
        <c:axId val="517266704"/>
        <c:scaling>
          <c:orientation val="minMax"/>
          <c:max val="0.1"/>
          <c:min val="0"/>
        </c:scaling>
        <c:delete val="0"/>
        <c:axPos val="l"/>
        <c:numFmt formatCode="0.0%" sourceLinked="0"/>
        <c:majorTickMark val="out"/>
        <c:minorTickMark val="none"/>
        <c:tickLblPos val="nextTo"/>
        <c:spPr>
          <a:ln w="6350" cap="flat" cmpd="sng" algn="ctr">
            <a:solidFill>
              <a:srgbClr val="767171"/>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517269504"/>
        <c:crosses val="autoZero"/>
        <c:crossBetween val="between"/>
        <c:minorUnit val="2.5000000000000001E-2"/>
      </c:valAx>
      <c:spPr>
        <a:noFill/>
      </c:spPr>
    </c:plotArea>
    <c:legend>
      <c:legendPos val="b"/>
      <c:layout>
        <c:manualLayout>
          <c:xMode val="edge"/>
          <c:yMode val="edge"/>
          <c:x val="4.5686010139143599E-2"/>
          <c:y val="0.87040804177828301"/>
          <c:w val="0.92739726027397296"/>
          <c:h val="5.8109965635738801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宋体" panose="02010600030101010101" charset="-122"/>
              <a:ea typeface="宋体" panose="02010600030101010101" charset="-122"/>
              <a:cs typeface="+mn-cs"/>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pPr>
      <a:endParaRPr lang="zh-CN"/>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网民规模和互联网普及</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7879994514531098"/>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网民规模（万人，左轴）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105114</c:v>
                </c:pt>
                <c:pt idx="1">
                  <c:v>106744</c:v>
                </c:pt>
                <c:pt idx="2">
                  <c:v>107853</c:v>
                </c:pt>
                <c:pt idx="3">
                  <c:v>109225</c:v>
                </c:pt>
                <c:pt idx="4">
                  <c:v>109967</c:v>
                </c:pt>
              </c:numCache>
            </c:numRef>
          </c:val>
          <c:extLst>
            <c:ext xmlns:c16="http://schemas.microsoft.com/office/drawing/2014/chart" uri="{C3380CC4-5D6E-409C-BE32-E72D297353CC}">
              <c16:uniqueId val="{00000000-8888-4354-87CD-331F175C5C21}"/>
            </c:ext>
          </c:extLst>
        </c:ser>
        <c:dLbls>
          <c:showLegendKey val="0"/>
          <c:showVal val="1"/>
          <c:showCatName val="0"/>
          <c:showSerName val="0"/>
          <c:showPercent val="0"/>
          <c:showBubbleSize val="0"/>
        </c:dLbls>
        <c:gapWidth val="124"/>
        <c:axId val="517256064"/>
        <c:axId val="517246544"/>
      </c:barChart>
      <c:lineChart>
        <c:grouping val="standard"/>
        <c:varyColors val="0"/>
        <c:ser>
          <c:idx val="1"/>
          <c:order val="1"/>
          <c:tx>
            <c:strRef>
              <c:f>Sheet1!$C$1</c:f>
              <c:strCache>
                <c:ptCount val="1"/>
                <c:pt idx="0">
                  <c:v>互联网普及率（右轴）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numFmt formatCode="0.0%" sourceLinked="0"/>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0.74399999999999999</c:v>
                </c:pt>
                <c:pt idx="1">
                  <c:v>0.75600000000000001</c:v>
                </c:pt>
                <c:pt idx="2">
                  <c:v>0.76400000000000001</c:v>
                </c:pt>
                <c:pt idx="3">
                  <c:v>0.77500000000000002</c:v>
                </c:pt>
                <c:pt idx="4">
                  <c:v>0.78</c:v>
                </c:pt>
              </c:numCache>
            </c:numRef>
          </c:val>
          <c:smooth val="0"/>
          <c:extLst>
            <c:ext xmlns:c16="http://schemas.microsoft.com/office/drawing/2014/chart" uri="{C3380CC4-5D6E-409C-BE32-E72D297353CC}">
              <c16:uniqueId val="{00000001-8888-4354-87CD-331F175C5C21}"/>
            </c:ext>
          </c:extLst>
        </c:ser>
        <c:dLbls>
          <c:showLegendKey val="0"/>
          <c:showVal val="1"/>
          <c:showCatName val="0"/>
          <c:showSerName val="0"/>
          <c:showPercent val="0"/>
          <c:showBubbleSize val="0"/>
        </c:dLbls>
        <c:marker val="1"/>
        <c:smooth val="0"/>
        <c:axId val="517240944"/>
        <c:axId val="517244304"/>
      </c:lineChart>
      <c:catAx>
        <c:axId val="517256064"/>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517246544"/>
        <c:crosses val="autoZero"/>
        <c:auto val="1"/>
        <c:lblAlgn val="ctr"/>
        <c:lblOffset val="100"/>
        <c:noMultiLvlLbl val="0"/>
      </c:catAx>
      <c:valAx>
        <c:axId val="517246544"/>
        <c:scaling>
          <c:orientation val="minMax"/>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517256064"/>
        <c:crosses val="autoZero"/>
        <c:crossBetween val="between"/>
        <c:majorUnit val="20000"/>
      </c:valAx>
      <c:catAx>
        <c:axId val="517240944"/>
        <c:scaling>
          <c:orientation val="minMax"/>
        </c:scaling>
        <c:delete val="1"/>
        <c:axPos val="b"/>
        <c:numFmt formatCode="General" sourceLinked="1"/>
        <c:majorTickMark val="out"/>
        <c:minorTickMark val="none"/>
        <c:tickLblPos val="none"/>
        <c:crossAx val="517244304"/>
        <c:crosses val="autoZero"/>
        <c:auto val="1"/>
        <c:lblAlgn val="ctr"/>
        <c:lblOffset val="100"/>
        <c:noMultiLvlLbl val="0"/>
      </c:catAx>
      <c:valAx>
        <c:axId val="517244304"/>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517240944"/>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手机网民规模及其占网民比例</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layout>
        <c:manualLayout>
          <c:xMode val="edge"/>
          <c:yMode val="edge"/>
          <c:x val="0.25624638042911002"/>
          <c:y val="1.3245033112582801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手机网民规模（万人，左轴）</c:v>
                </c:pt>
              </c:strCache>
            </c:strRef>
          </c:tx>
          <c:spPr>
            <a:solidFill>
              <a:srgbClr val="5B9BD5"/>
            </a:solidFill>
            <a:ln w="12700" cap="flat" cmpd="sng" algn="ctr">
              <a:noFill/>
              <a:prstDash val="solid"/>
              <a:round/>
            </a:ln>
          </c:spPr>
          <c:invertIfNegative val="0"/>
          <c:dLbls>
            <c:dLbl>
              <c:idx val="0"/>
              <c:layout>
                <c:manualLayout>
                  <c:x val="-2.297095795959E-17"/>
                  <c:y val="1.76600441501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26-410B-9AB1-D5A43795A3B1}"/>
                </c:ext>
              </c:extLst>
            </c:dLbl>
            <c:dLbl>
              <c:idx val="1"/>
              <c:layout>
                <c:manualLayout>
                  <c:x val="-4.594191591918E-17"/>
                  <c:y val="2.2075055187637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26-410B-9AB1-D5A43795A3B1}"/>
                </c:ext>
              </c:extLst>
            </c:dLbl>
            <c:dLbl>
              <c:idx val="2"/>
              <c:layout>
                <c:manualLayout>
                  <c:x val="0"/>
                  <c:y val="2.2075055187637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26-410B-9AB1-D5A43795A3B1}"/>
                </c:ext>
              </c:extLst>
            </c:dLbl>
            <c:dLbl>
              <c:idx val="3"/>
              <c:layout>
                <c:manualLayout>
                  <c:x val="0"/>
                  <c:y val="2.6490066225165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26-410B-9AB1-D5A43795A3B1}"/>
                </c:ext>
              </c:extLst>
            </c:dLbl>
            <c:dLbl>
              <c:idx val="4"/>
              <c:layout>
                <c:manualLayout>
                  <c:x val="-9.1883831838360001E-17"/>
                  <c:y val="2.6490066225165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26-410B-9AB1-D5A43795A3B1}"/>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104659</c:v>
                </c:pt>
                <c:pt idx="1">
                  <c:v>106510</c:v>
                </c:pt>
                <c:pt idx="2">
                  <c:v>107619</c:v>
                </c:pt>
                <c:pt idx="3">
                  <c:v>109072</c:v>
                </c:pt>
                <c:pt idx="4">
                  <c:v>109600</c:v>
                </c:pt>
              </c:numCache>
            </c:numRef>
          </c:val>
          <c:extLst>
            <c:ext xmlns:c16="http://schemas.microsoft.com/office/drawing/2014/chart" uri="{C3380CC4-5D6E-409C-BE32-E72D297353CC}">
              <c16:uniqueId val="{00000005-A226-410B-9AB1-D5A43795A3B1}"/>
            </c:ext>
          </c:extLst>
        </c:ser>
        <c:dLbls>
          <c:showLegendKey val="0"/>
          <c:showVal val="1"/>
          <c:showCatName val="0"/>
          <c:showSerName val="0"/>
          <c:showPercent val="0"/>
          <c:showBubbleSize val="0"/>
        </c:dLbls>
        <c:gapWidth val="141"/>
        <c:axId val="517240384"/>
        <c:axId val="517263904"/>
      </c:barChart>
      <c:lineChart>
        <c:grouping val="standard"/>
        <c:varyColors val="0"/>
        <c:ser>
          <c:idx val="1"/>
          <c:order val="1"/>
          <c:tx>
            <c:strRef>
              <c:f>Sheet1!$C$1</c:f>
              <c:strCache>
                <c:ptCount val="1"/>
                <c:pt idx="0">
                  <c:v>手机网民占整体网民比例（右轴）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numFmt formatCode="0.0%" sourceLinked="0"/>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0.996</c:v>
                </c:pt>
                <c:pt idx="1">
                  <c:v>0.998</c:v>
                </c:pt>
                <c:pt idx="2">
                  <c:v>0.998</c:v>
                </c:pt>
                <c:pt idx="3">
                  <c:v>0.999</c:v>
                </c:pt>
                <c:pt idx="4">
                  <c:v>0.997</c:v>
                </c:pt>
              </c:numCache>
            </c:numRef>
          </c:val>
          <c:smooth val="0"/>
          <c:extLst>
            <c:ext xmlns:c16="http://schemas.microsoft.com/office/drawing/2014/chart" uri="{C3380CC4-5D6E-409C-BE32-E72D297353CC}">
              <c16:uniqueId val="{00000006-A226-410B-9AB1-D5A43795A3B1}"/>
            </c:ext>
          </c:extLst>
        </c:ser>
        <c:dLbls>
          <c:showLegendKey val="0"/>
          <c:showVal val="1"/>
          <c:showCatName val="0"/>
          <c:showSerName val="0"/>
          <c:showPercent val="0"/>
          <c:showBubbleSize val="0"/>
        </c:dLbls>
        <c:marker val="1"/>
        <c:smooth val="0"/>
        <c:axId val="517271744"/>
        <c:axId val="517270064"/>
      </c:lineChart>
      <c:catAx>
        <c:axId val="517240384"/>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517263904"/>
        <c:crosses val="autoZero"/>
        <c:auto val="1"/>
        <c:lblAlgn val="ctr"/>
        <c:lblOffset val="100"/>
        <c:noMultiLvlLbl val="0"/>
      </c:catAx>
      <c:valAx>
        <c:axId val="517263904"/>
        <c:scaling>
          <c:orientation val="minMax"/>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517240384"/>
        <c:crosses val="autoZero"/>
        <c:crossBetween val="between"/>
        <c:majorUnit val="20000"/>
      </c:valAx>
      <c:catAx>
        <c:axId val="517271744"/>
        <c:scaling>
          <c:orientation val="minMax"/>
        </c:scaling>
        <c:delete val="1"/>
        <c:axPos val="b"/>
        <c:numFmt formatCode="General" sourceLinked="1"/>
        <c:majorTickMark val="out"/>
        <c:minorTickMark val="none"/>
        <c:tickLblPos val="none"/>
        <c:crossAx val="517270064"/>
        <c:crosses val="autoZero"/>
        <c:auto val="1"/>
        <c:lblAlgn val="ctr"/>
        <c:lblOffset val="100"/>
        <c:noMultiLvlLbl val="0"/>
      </c:catAx>
      <c:valAx>
        <c:axId val="517270064"/>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517271744"/>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pitchFamily="34" charset="-122"/>
                <a:ea typeface="微软雅黑" panose="020B0503020204020204" pitchFamily="34" charset="-122"/>
                <a:cs typeface="Arial" panose="020B0604020202020204" pitchFamily="2" charset="0"/>
              </a:defRPr>
            </a:pPr>
            <a:r>
              <a:rPr lang="zh-CN" altLang="en-US" sz="1000">
                <a:latin typeface="宋体" panose="02010600030101010101" charset="-122"/>
                <a:ea typeface="宋体" panose="02010600030101010101" charset="-122"/>
              </a:rPr>
              <a:t>网民城乡结构</a:t>
            </a:r>
          </a:p>
        </c:rich>
      </c:tx>
      <c:overlay val="1"/>
    </c:title>
    <c:autoTitleDeleted val="0"/>
    <c:plotArea>
      <c:layout>
        <c:manualLayout>
          <c:layoutTarget val="inner"/>
          <c:xMode val="edge"/>
          <c:yMode val="edge"/>
          <c:x val="0.120585386010422"/>
          <c:y val="0.20551636705790599"/>
          <c:w val="0.81171353935569601"/>
          <c:h val="0.54383519041251904"/>
        </c:manualLayout>
      </c:layout>
      <c:barChart>
        <c:barDir val="col"/>
        <c:grouping val="percentStacked"/>
        <c:varyColors val="0"/>
        <c:ser>
          <c:idx val="0"/>
          <c:order val="0"/>
          <c:tx>
            <c:strRef>
              <c:f>Sheet1!$B$1</c:f>
              <c:strCache>
                <c:ptCount val="1"/>
                <c:pt idx="0">
                  <c:v>城镇</c:v>
                </c:pt>
              </c:strCache>
            </c:strRef>
          </c:tx>
          <c:spPr>
            <a:solidFill>
              <a:srgbClr val="5B9BD5"/>
            </a:solidFill>
            <a:ln w="12700" cap="flat" cmpd="sng" algn="ctr">
              <a:no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2023年12月</c:v>
                </c:pt>
                <c:pt idx="1">
                  <c:v>2024年6月</c:v>
                </c:pt>
              </c:strCache>
            </c:strRef>
          </c:cat>
          <c:val>
            <c:numRef>
              <c:f>Sheet1!$B$2:$B$3</c:f>
              <c:numCache>
                <c:formatCode>0.0%</c:formatCode>
                <c:ptCount val="2"/>
                <c:pt idx="0">
                  <c:v>0.70199999999999996</c:v>
                </c:pt>
                <c:pt idx="1">
                  <c:v>0.72314272891998199</c:v>
                </c:pt>
              </c:numCache>
            </c:numRef>
          </c:val>
          <c:extLst>
            <c:ext xmlns:c16="http://schemas.microsoft.com/office/drawing/2014/chart" uri="{C3380CC4-5D6E-409C-BE32-E72D297353CC}">
              <c16:uniqueId val="{00000000-952D-4E9A-980A-A0A35379CF03}"/>
            </c:ext>
          </c:extLst>
        </c:ser>
        <c:ser>
          <c:idx val="1"/>
          <c:order val="1"/>
          <c:tx>
            <c:strRef>
              <c:f>Sheet1!$C$1</c:f>
              <c:strCache>
                <c:ptCount val="1"/>
                <c:pt idx="0">
                  <c:v>农村</c:v>
                </c:pt>
              </c:strCache>
            </c:strRef>
          </c:tx>
          <c:spPr>
            <a:solidFill>
              <a:srgbClr val="FF0000">
                <a:alpha val="70000"/>
              </a:srgbClr>
            </a:solidFill>
            <a:ln w="12700" cap="flat" cmpd="sng" algn="ctr">
              <a:noFill/>
              <a:prstDash val="solid"/>
              <a:round/>
            </a:ln>
          </c:spPr>
          <c:invertIfNegative val="0"/>
          <c:dLbls>
            <c:numFmt formatCode="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2023年12月</c:v>
                </c:pt>
                <c:pt idx="1">
                  <c:v>2024年6月</c:v>
                </c:pt>
              </c:strCache>
            </c:strRef>
          </c:cat>
          <c:val>
            <c:numRef>
              <c:f>Sheet1!$C$2:$C$3</c:f>
              <c:numCache>
                <c:formatCode>0.0%</c:formatCode>
                <c:ptCount val="2"/>
                <c:pt idx="0">
                  <c:v>0.29799999999999999</c:v>
                </c:pt>
                <c:pt idx="1">
                  <c:v>0.27685727108001801</c:v>
                </c:pt>
              </c:numCache>
            </c:numRef>
          </c:val>
          <c:extLst>
            <c:ext xmlns:c16="http://schemas.microsoft.com/office/drawing/2014/chart" uri="{C3380CC4-5D6E-409C-BE32-E72D297353CC}">
              <c16:uniqueId val="{00000001-952D-4E9A-980A-A0A35379CF03}"/>
            </c:ext>
          </c:extLst>
        </c:ser>
        <c:dLbls>
          <c:showLegendKey val="0"/>
          <c:showVal val="0"/>
          <c:showCatName val="0"/>
          <c:showSerName val="0"/>
          <c:showPercent val="0"/>
          <c:showBubbleSize val="0"/>
        </c:dLbls>
        <c:gapWidth val="150"/>
        <c:overlap val="100"/>
        <c:axId val="517243744"/>
        <c:axId val="517243184"/>
      </c:barChart>
      <c:catAx>
        <c:axId val="517243744"/>
        <c:scaling>
          <c:orientation val="minMax"/>
        </c:scaling>
        <c:delete val="0"/>
        <c:axPos val="b"/>
        <c:numFmt formatCode="General" sourceLinked="1"/>
        <c:majorTickMark val="out"/>
        <c:minorTickMark val="none"/>
        <c:tickLblPos val="nextTo"/>
        <c:spPr>
          <a:ln w="9525" cap="flat" cmpd="sng" algn="ctr">
            <a:solidFill>
              <a:schemeClr val="tx1">
                <a:tint val="75000"/>
                <a:shade val="95000"/>
                <a:satMod val="10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17243184"/>
        <c:crosses val="autoZero"/>
        <c:auto val="1"/>
        <c:lblAlgn val="ctr"/>
        <c:lblOffset val="100"/>
        <c:noMultiLvlLbl val="0"/>
      </c:catAx>
      <c:valAx>
        <c:axId val="517243184"/>
        <c:scaling>
          <c:orientation val="minMax"/>
        </c:scaling>
        <c:delete val="0"/>
        <c:axPos val="l"/>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17243744"/>
        <c:crosses val="autoZero"/>
        <c:crossBetween val="between"/>
        <c:majorUnit val="0.2"/>
      </c:valAx>
      <c:spPr>
        <a:noFill/>
        <a:ln w="12700">
          <a:noFill/>
        </a:ln>
      </c:spPr>
    </c:plotArea>
    <c:legend>
      <c:legendPos val="b"/>
      <c:layout>
        <c:manualLayout>
          <c:xMode val="edge"/>
          <c:yMode val="edge"/>
          <c:x val="0.31108143292742602"/>
          <c:y val="0.82715211903078101"/>
          <c:w val="0.39652173913043498"/>
          <c:h val="7.5018867924528998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mj-ea"/>
              <a:ea typeface="+mj-ea"/>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zh-CN" altLang="en-US" sz="1000">
                <a:latin typeface="+mj-ea"/>
                <a:ea typeface="+mj-ea"/>
                <a:cs typeface="Times New Roman" panose="02020603050405020304" charset="0"/>
              </a:rPr>
              <a:t>城乡地区互联网普及率</a:t>
            </a:r>
          </a:p>
        </c:rich>
      </c:tx>
      <c:overlay val="1"/>
    </c:title>
    <c:autoTitleDeleted val="0"/>
    <c:plotArea>
      <c:layout>
        <c:manualLayout>
          <c:layoutTarget val="inner"/>
          <c:xMode val="edge"/>
          <c:yMode val="edge"/>
          <c:x val="7.0038124796444307E-2"/>
          <c:y val="0.15657710371650099"/>
          <c:w val="0.837713906072309"/>
          <c:h val="0.56804959089095297"/>
        </c:manualLayout>
      </c:layout>
      <c:lineChart>
        <c:grouping val="standard"/>
        <c:varyColors val="0"/>
        <c:ser>
          <c:idx val="0"/>
          <c:order val="0"/>
          <c:tx>
            <c:strRef>
              <c:f>Sheet1!$B$1</c:f>
              <c:strCache>
                <c:ptCount val="1"/>
                <c:pt idx="0">
                  <c:v>城镇地区互联网普及率</c:v>
                </c:pt>
              </c:strCache>
            </c:strRef>
          </c:tx>
          <c:spPr>
            <a:ln w="12700" cap="rnd" cmpd="sng" algn="ctr">
              <a:solidFill>
                <a:srgbClr val="0070C0">
                  <a:alpha val="70000"/>
                </a:srgbClr>
              </a:solidFill>
              <a:prstDash val="solid"/>
              <a:round/>
            </a:ln>
          </c:spPr>
          <c:marker>
            <c:spPr>
              <a:solidFill>
                <a:srgbClr val="0070C0">
                  <a:alpha val="70000"/>
                </a:srgbClr>
              </a:solidFill>
              <a:ln w="9525" cap="flat" cmpd="sng" algn="ctr">
                <a:solidFill>
                  <a:srgbClr val="0070C0">
                    <a:alpha val="70000"/>
                  </a:srgbClr>
                </a:solidFill>
                <a:prstDash val="solid"/>
                <a:round/>
              </a:ln>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mj-ea"/>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0.0%</c:formatCode>
                <c:ptCount val="5"/>
                <c:pt idx="0">
                  <c:v>0.82899999999999996</c:v>
                </c:pt>
                <c:pt idx="1">
                  <c:v>0.83099999999999996</c:v>
                </c:pt>
                <c:pt idx="2">
                  <c:v>0.85099999999999998</c:v>
                </c:pt>
                <c:pt idx="3">
                  <c:v>0.83299999999999996</c:v>
                </c:pt>
                <c:pt idx="4">
                  <c:v>0.85299999999999998</c:v>
                </c:pt>
              </c:numCache>
            </c:numRef>
          </c:val>
          <c:smooth val="0"/>
          <c:extLst>
            <c:ext xmlns:c16="http://schemas.microsoft.com/office/drawing/2014/chart" uri="{C3380CC4-5D6E-409C-BE32-E72D297353CC}">
              <c16:uniqueId val="{00000000-3CC9-4D8B-9DDE-EF23BB0C66E8}"/>
            </c:ext>
          </c:extLst>
        </c:ser>
        <c:ser>
          <c:idx val="1"/>
          <c:order val="1"/>
          <c:tx>
            <c:strRef>
              <c:f>Sheet1!$C$1</c:f>
              <c:strCache>
                <c:ptCount val="1"/>
                <c:pt idx="0">
                  <c:v>农村地区互联网普及率</c:v>
                </c:pt>
              </c:strCache>
            </c:strRef>
          </c:tx>
          <c:spPr>
            <a:ln w="12700" cap="rnd" cmpd="sng" algn="ctr">
              <a:solidFill>
                <a:srgbClr val="FF0000"/>
              </a:solidFill>
              <a:prstDash val="solid"/>
              <a:round/>
            </a:ln>
          </c:spPr>
          <c:marker>
            <c:symbol val="star"/>
            <c:size val="5"/>
            <c:spPr>
              <a:noFill/>
              <a:ln w="9525" cap="flat" cmpd="sng" algn="ctr">
                <a:solidFill>
                  <a:srgbClr val="FF0000"/>
                </a:solidFill>
                <a:prstDash val="solid"/>
                <a:round/>
              </a:ln>
            </c:spPr>
          </c:marker>
          <c:dLbls>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j-ea"/>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0.58799999999999997</c:v>
                </c:pt>
                <c:pt idx="1">
                  <c:v>0.61899999999999999</c:v>
                </c:pt>
                <c:pt idx="2">
                  <c:v>0.60499999999999998</c:v>
                </c:pt>
                <c:pt idx="3">
                  <c:v>0.66500000000000004</c:v>
                </c:pt>
                <c:pt idx="4">
                  <c:v>0.63800000000000001</c:v>
                </c:pt>
              </c:numCache>
            </c:numRef>
          </c:val>
          <c:smooth val="0"/>
          <c:extLst>
            <c:ext xmlns:c16="http://schemas.microsoft.com/office/drawing/2014/chart" uri="{C3380CC4-5D6E-409C-BE32-E72D297353CC}">
              <c16:uniqueId val="{00000001-3CC9-4D8B-9DDE-EF23BB0C66E8}"/>
            </c:ext>
          </c:extLst>
        </c:ser>
        <c:dLbls>
          <c:showLegendKey val="0"/>
          <c:showVal val="1"/>
          <c:showCatName val="0"/>
          <c:showSerName val="0"/>
          <c:showPercent val="0"/>
          <c:showBubbleSize val="0"/>
        </c:dLbls>
        <c:marker val="1"/>
        <c:smooth val="0"/>
        <c:axId val="553805232"/>
        <c:axId val="553807472"/>
      </c:lineChart>
      <c:catAx>
        <c:axId val="553805232"/>
        <c:scaling>
          <c:orientation val="minMax"/>
        </c:scaling>
        <c:delete val="0"/>
        <c:axPos val="b"/>
        <c:numFmt formatCode="General" sourceLinked="0"/>
        <c:majorTickMark val="out"/>
        <c:minorTickMark val="none"/>
        <c:tickLblPos val="nextTo"/>
        <c:spPr>
          <a:ln w="9525" cap="flat" cmpd="sng" algn="ctr">
            <a:solidFill>
              <a:schemeClr val="tx1">
                <a:tint val="75000"/>
                <a:shade val="95000"/>
                <a:satMod val="105000"/>
              </a:scheme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53807472"/>
        <c:crosses val="autoZero"/>
        <c:auto val="1"/>
        <c:lblAlgn val="ctr"/>
        <c:lblOffset val="100"/>
        <c:noMultiLvlLbl val="0"/>
      </c:catAx>
      <c:valAx>
        <c:axId val="553807472"/>
        <c:scaling>
          <c:orientation val="minMax"/>
        </c:scaling>
        <c:delete val="0"/>
        <c:axPos val="l"/>
        <c:numFmt formatCode="0%" sourceLinked="0"/>
        <c:majorTickMark val="out"/>
        <c:minorTickMark val="none"/>
        <c:tickLblPos val="none"/>
        <c:spPr>
          <a:ln w="9525" cap="flat" cmpd="sng" algn="ctr">
            <a:no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553805232"/>
        <c:crosses val="autoZero"/>
        <c:crossBetween val="between"/>
        <c:majorUnit val="0.2"/>
      </c:valAx>
      <c:spPr>
        <a:noFill/>
      </c:spPr>
    </c:plotArea>
    <c:legend>
      <c:legendPos val="b"/>
      <c:layout>
        <c:manualLayout>
          <c:xMode val="edge"/>
          <c:yMode val="edge"/>
          <c:x val="0.101464975940808"/>
          <c:y val="0.82791028442066905"/>
          <c:w val="0.75978354842514295"/>
          <c:h val="7.3903345724907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mj-ea"/>
              <a:ea typeface="+mj-ea"/>
              <a:cs typeface="+mn-cs"/>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w="6350" cap="flat" cmpd="sng" algn="ctr">
      <a:solidFill>
        <a:srgbClr val="5B9BD5"/>
      </a:solidFill>
      <a:prstDash val="solid"/>
      <a:round/>
    </a:ln>
  </c:spPr>
  <c:txPr>
    <a:bodyPr/>
    <a:lstStyle/>
    <a:p>
      <a:pPr>
        <a:defRPr lang="zh-CN" sz="900"/>
      </a:pPr>
      <a:endParaRPr lang="zh-CN"/>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chemeClr val="tx1"/>
                </a:solidFill>
                <a:latin typeface="+mj-ea"/>
                <a:ea typeface="+mj-ea"/>
                <a:cs typeface="+mn-cs"/>
              </a:defRPr>
            </a:pPr>
            <a:r>
              <a:rPr lang="zh-CN" altLang="en-US" sz="1000" b="1" i="0" u="none" strike="noStrike" baseline="0">
                <a:effectLst/>
                <a:latin typeface="+mj-ea"/>
                <a:ea typeface="+mj-ea"/>
              </a:rPr>
              <a:t>非网民不上网带来的生活不便</a:t>
            </a:r>
            <a:endParaRPr lang="zh-CN" altLang="en-US" sz="1000">
              <a:latin typeface="+mj-ea"/>
              <a:ea typeface="+mj-ea"/>
            </a:endParaRPr>
          </a:p>
        </c:rich>
      </c:tx>
      <c:overlay val="0"/>
    </c:title>
    <c:autoTitleDeleted val="0"/>
    <c:plotArea>
      <c:layout>
        <c:manualLayout>
          <c:layoutTarget val="inner"/>
          <c:xMode val="edge"/>
          <c:yMode val="edge"/>
          <c:x val="0.33554243219597601"/>
          <c:y val="0.149596724937685"/>
          <c:w val="0.66445756780402498"/>
          <c:h val="0.74254840786411203"/>
        </c:manualLayout>
      </c:layout>
      <c:barChart>
        <c:barDir val="bar"/>
        <c:grouping val="clustered"/>
        <c:varyColors val="0"/>
        <c:ser>
          <c:idx val="0"/>
          <c:order val="0"/>
          <c:tx>
            <c:strRef>
              <c:f>Sheet1!$B$1</c:f>
              <c:strCache>
                <c:ptCount val="1"/>
                <c:pt idx="0">
                  <c:v>列2</c:v>
                </c:pt>
              </c:strCache>
            </c:strRef>
          </c:tx>
          <c:spPr>
            <a:solidFill>
              <a:srgbClr val="5B9BD5"/>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买东西不方便</c:v>
                </c:pt>
                <c:pt idx="1">
                  <c:v>办事、缴费很困难</c:v>
                </c:pt>
                <c:pt idx="2">
                  <c:v>看病、挂号、买药难</c:v>
                </c:pt>
                <c:pt idx="3">
                  <c:v>缺少休闲娱乐活动</c:v>
                </c:pt>
                <c:pt idx="4">
                  <c:v>很难和家人朋友联系</c:v>
                </c:pt>
                <c:pt idx="5">
                  <c:v>很难买到火车票、飞机票</c:v>
                </c:pt>
                <c:pt idx="6">
                  <c:v>很难打到车</c:v>
                </c:pt>
              </c:strCache>
            </c:strRef>
          </c:cat>
          <c:val>
            <c:numRef>
              <c:f>Sheet1!$B$2:$B$8</c:f>
              <c:numCache>
                <c:formatCode>0.0%</c:formatCode>
                <c:ptCount val="7"/>
                <c:pt idx="0">
                  <c:v>9.7612609453720703E-2</c:v>
                </c:pt>
                <c:pt idx="1">
                  <c:v>9.3770470545440701E-2</c:v>
                </c:pt>
                <c:pt idx="2">
                  <c:v>7.8682783411495996E-2</c:v>
                </c:pt>
                <c:pt idx="3">
                  <c:v>7.31234988313645E-2</c:v>
                </c:pt>
                <c:pt idx="4">
                  <c:v>7.0170265466445905E-2</c:v>
                </c:pt>
                <c:pt idx="5">
                  <c:v>4.8328542806198201E-2</c:v>
                </c:pt>
                <c:pt idx="6">
                  <c:v>4.5999999999999999E-2</c:v>
                </c:pt>
              </c:numCache>
            </c:numRef>
          </c:val>
          <c:extLst>
            <c:ext xmlns:c16="http://schemas.microsoft.com/office/drawing/2014/chart" uri="{C3380CC4-5D6E-409C-BE32-E72D297353CC}">
              <c16:uniqueId val="{00000000-BD43-4B77-B3A3-2A93843BD960}"/>
            </c:ext>
          </c:extLst>
        </c:ser>
        <c:dLbls>
          <c:showLegendKey val="0"/>
          <c:showVal val="1"/>
          <c:showCatName val="0"/>
          <c:showSerName val="0"/>
          <c:showPercent val="0"/>
          <c:showBubbleSize val="0"/>
        </c:dLbls>
        <c:gapWidth val="150"/>
        <c:axId val="553781152"/>
        <c:axId val="553796272"/>
      </c:barChart>
      <c:catAx>
        <c:axId val="553781152"/>
        <c:scaling>
          <c:orientation val="maxMin"/>
        </c:scaling>
        <c:delete val="0"/>
        <c:axPos val="l"/>
        <c:numFmt formatCode="General" sourceLinked="0"/>
        <c:majorTickMark val="out"/>
        <c:minorTickMark val="none"/>
        <c:tickLblPos val="nextTo"/>
        <c:spPr>
          <a:ln w="9525" cap="flat" cmpd="sng" algn="ctr">
            <a:solidFill>
              <a:schemeClr val="tx1">
                <a:tint val="75000"/>
                <a:shade val="95000"/>
                <a:satMod val="105000"/>
              </a:scheme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mn-ea"/>
                <a:ea typeface="+mn-ea"/>
                <a:cs typeface="+mn-cs"/>
              </a:defRPr>
            </a:pPr>
            <a:endParaRPr lang="zh-CN"/>
          </a:p>
        </c:txPr>
        <c:crossAx val="553796272"/>
        <c:crosses val="autoZero"/>
        <c:auto val="1"/>
        <c:lblAlgn val="ctr"/>
        <c:lblOffset val="100"/>
        <c:noMultiLvlLbl val="0"/>
      </c:catAx>
      <c:valAx>
        <c:axId val="553796272"/>
        <c:scaling>
          <c:orientation val="minMax"/>
          <c:min val="0"/>
        </c:scaling>
        <c:delete val="0"/>
        <c:axPos val="t"/>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53781152"/>
        <c:crosses val="autoZero"/>
        <c:crossBetween val="between"/>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pPr>
      <a:endParaRPr lang="zh-CN"/>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000" b="1" i="0" u="none" strike="noStrike" kern="1200" baseline="0">
                <a:solidFill>
                  <a:schemeClr val="tx1"/>
                </a:solidFill>
                <a:latin typeface="宋体" panose="02010600030101010101" charset="-122"/>
                <a:ea typeface="宋体" panose="02010600030101010101" charset="-122"/>
                <a:cs typeface="+mn-cs"/>
              </a:defRPr>
            </a:pPr>
            <a:r>
              <a:rPr lang="zh-CN" altLang="en-US" sz="1000">
                <a:latin typeface="宋体" panose="02010600030101010101" charset="-122"/>
                <a:ea typeface="宋体" panose="02010600030101010101" charset="-122"/>
              </a:rPr>
              <a:t>非网民不上网原因</a:t>
            </a:r>
            <a:endParaRPr lang="zh-CN" sz="1000">
              <a:latin typeface="宋体" panose="02010600030101010101" charset="-122"/>
              <a:ea typeface="宋体" panose="02010600030101010101" charset="-122"/>
            </a:endParaRPr>
          </a:p>
        </c:rich>
      </c:tx>
      <c:overlay val="1"/>
    </c:title>
    <c:autoTitleDeleted val="0"/>
    <c:plotArea>
      <c:layout>
        <c:manualLayout>
          <c:layoutTarget val="inner"/>
          <c:xMode val="edge"/>
          <c:yMode val="edge"/>
          <c:x val="5.18041025804837E-2"/>
          <c:y val="0.14281736491605801"/>
          <c:w val="0.90150718989739798"/>
          <c:h val="0.53185898412422905"/>
        </c:manualLayout>
      </c:layout>
      <c:barChart>
        <c:barDir val="col"/>
        <c:grouping val="clustered"/>
        <c:varyColors val="0"/>
        <c:ser>
          <c:idx val="1"/>
          <c:order val="0"/>
          <c:tx>
            <c:strRef>
              <c:f>Sheet1!$B$1</c:f>
              <c:strCache>
                <c:ptCount val="1"/>
                <c:pt idx="0">
                  <c:v>2024.6</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0"/>
              <c:layout>
                <c:manualLayout>
                  <c:x val="-5.3486862529280601E-4"/>
                  <c:y val="-4.62957614837111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DA-43A9-9416-216C15613CC8}"/>
                </c:ext>
              </c:extLst>
            </c:dLbl>
            <c:dLbl>
              <c:idx val="2"/>
              <c:layout>
                <c:manualLayout>
                  <c:x val="2.7603894974787099E-3"/>
                  <c:y val="-8.09409339847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DA-43A9-9416-216C15613CC8}"/>
                </c:ext>
              </c:extLst>
            </c:dLbl>
            <c:dLbl>
              <c:idx val="3"/>
              <c:layout>
                <c:manualLayout>
                  <c:x val="-5.24146449239485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DA-43A9-9416-216C15613CC8}"/>
                </c:ext>
              </c:extLst>
            </c:dLbl>
            <c:dLbl>
              <c:idx val="4"/>
              <c:layout>
                <c:manualLayout>
                  <c:x val="2.98392721193826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DA-43A9-9416-216C15613CC8}"/>
                </c:ext>
              </c:extLst>
            </c:dLbl>
            <c:dLbl>
              <c:idx val="5"/>
              <c:layout>
                <c:manualLayout>
                  <c:x val="-2.48114016173942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DA-43A9-9416-216C15613C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不懂电脑/网络</c:v>
                </c:pt>
                <c:pt idx="1">
                  <c:v>不懂拼音等文化程度限制</c:v>
                </c:pt>
                <c:pt idx="2">
                  <c:v>没有电脑等上网设备</c:v>
                </c:pt>
                <c:pt idx="3">
                  <c:v>年龄太大/太小</c:v>
                </c:pt>
                <c:pt idx="4">
                  <c:v>不需要/不感兴趣</c:v>
                </c:pt>
                <c:pt idx="5">
                  <c:v>没时间上网</c:v>
                </c:pt>
              </c:strCache>
            </c:strRef>
          </c:cat>
          <c:val>
            <c:numRef>
              <c:f>Sheet1!$B$2:$B$7</c:f>
              <c:numCache>
                <c:formatCode>0.0%</c:formatCode>
                <c:ptCount val="6"/>
                <c:pt idx="0">
                  <c:v>0.489553283800993</c:v>
                </c:pt>
                <c:pt idx="1">
                  <c:v>0.27638693913096501</c:v>
                </c:pt>
                <c:pt idx="2">
                  <c:v>0.19024531815658199</c:v>
                </c:pt>
                <c:pt idx="3">
                  <c:v>0.15259719544789799</c:v>
                </c:pt>
                <c:pt idx="4">
                  <c:v>0.121</c:v>
                </c:pt>
                <c:pt idx="5">
                  <c:v>5.7000000000000002E-2</c:v>
                </c:pt>
              </c:numCache>
            </c:numRef>
          </c:val>
          <c:extLst>
            <c:ext xmlns:c16="http://schemas.microsoft.com/office/drawing/2014/chart" uri="{C3380CC4-5D6E-409C-BE32-E72D297353CC}">
              <c16:uniqueId val="{00000005-7CDA-43A9-9416-216C15613CC8}"/>
            </c:ext>
          </c:extLst>
        </c:ser>
        <c:dLbls>
          <c:showLegendKey val="0"/>
          <c:showVal val="1"/>
          <c:showCatName val="0"/>
          <c:showSerName val="0"/>
          <c:showPercent val="0"/>
          <c:showBubbleSize val="0"/>
        </c:dLbls>
        <c:gapWidth val="100"/>
        <c:axId val="553804672"/>
        <c:axId val="553794032"/>
      </c:barChart>
      <c:catAx>
        <c:axId val="553804672"/>
        <c:scaling>
          <c:orientation val="minMax"/>
        </c:scaling>
        <c:delete val="0"/>
        <c:axPos val="b"/>
        <c:numFmt formatCode="General" sourceLinked="1"/>
        <c:majorTickMark val="out"/>
        <c:minorTickMark val="none"/>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mj-ea"/>
                <a:ea typeface="+mj-ea"/>
                <a:cs typeface="+mn-cs"/>
              </a:defRPr>
            </a:pPr>
            <a:endParaRPr lang="zh-CN"/>
          </a:p>
        </c:txPr>
        <c:crossAx val="553794032"/>
        <c:crosses val="autoZero"/>
        <c:auto val="1"/>
        <c:lblAlgn val="ctr"/>
        <c:lblOffset val="100"/>
        <c:tickLblSkip val="1"/>
        <c:noMultiLvlLbl val="0"/>
      </c:catAx>
      <c:valAx>
        <c:axId val="553794032"/>
        <c:scaling>
          <c:orientation val="minMax"/>
        </c:scaling>
        <c:delete val="0"/>
        <c:axPos val="l"/>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微软雅黑" panose="020B0503020204020204" pitchFamily="34" charset="-122"/>
                <a:cs typeface="Arial" panose="020B0604020202020204" pitchFamily="2" charset="0"/>
              </a:defRPr>
            </a:pPr>
            <a:endParaRPr lang="zh-CN"/>
          </a:p>
        </c:txPr>
        <c:crossAx val="553804672"/>
        <c:crosses val="autoZero"/>
        <c:crossBetween val="between"/>
        <c:majorUnit val="0.2"/>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a:latin typeface="微软雅黑" panose="020B0503020204020204" pitchFamily="34" charset="-122"/>
          <a:ea typeface="微软雅黑" panose="020B0503020204020204" pitchFamily="34" charset="-122"/>
        </a:defRPr>
      </a:pPr>
      <a:endParaRPr lang="zh-CN"/>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宋体" panose="02010600030101010101" charset="-122"/>
                <a:ea typeface="宋体" panose="02010600030101010101" charset="-122"/>
                <a:cs typeface="Arial" panose="020B0604020202020204" pitchFamily="2" charset="0"/>
              </a:defRPr>
            </a:pPr>
            <a:r>
              <a:rPr lang="zh-CN" altLang="en-US" sz="1000">
                <a:solidFill>
                  <a:sysClr val="windowText" lastClr="000000"/>
                </a:solidFill>
                <a:latin typeface="宋体" panose="02010600030101010101" charset="-122"/>
                <a:ea typeface="宋体" panose="02010600030101010101" charset="-122"/>
              </a:rPr>
              <a:t>非网民上网促进因素</a:t>
            </a:r>
          </a:p>
        </c:rich>
      </c:tx>
      <c:layout>
        <c:manualLayout>
          <c:xMode val="edge"/>
          <c:yMode val="edge"/>
          <c:x val="0.33741041098042301"/>
          <c:y val="3.0419721356421899E-2"/>
        </c:manualLayout>
      </c:layout>
      <c:overlay val="0"/>
    </c:title>
    <c:autoTitleDeleted val="0"/>
    <c:plotArea>
      <c:layout>
        <c:manualLayout>
          <c:layoutTarget val="inner"/>
          <c:xMode val="edge"/>
          <c:yMode val="edge"/>
          <c:x val="0.45139463332714502"/>
          <c:y val="0.206246120375638"/>
          <c:w val="0.483264498339809"/>
          <c:h val="0.655857808648454"/>
        </c:manualLayout>
      </c:layout>
      <c:barChart>
        <c:barDir val="bar"/>
        <c:grouping val="clustered"/>
        <c:varyColors val="0"/>
        <c:ser>
          <c:idx val="0"/>
          <c:order val="0"/>
          <c:tx>
            <c:strRef>
              <c:f>Sheet1!$B$1</c:f>
              <c:strCache>
                <c:ptCount val="1"/>
                <c:pt idx="0">
                  <c:v>2024.6</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1"/>
              <c:layout>
                <c:manualLayout>
                  <c:x val="0"/>
                  <c:y val="1.20481927710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C9-4BD4-8900-C80C86A20139}"/>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方便与家人或亲属的沟通联系</c:v>
                </c:pt>
                <c:pt idx="1">
                  <c:v>提供可以无障碍使用的上网设备</c:v>
                </c:pt>
                <c:pt idx="2">
                  <c:v>提供免费上网培训指导</c:v>
                </c:pt>
                <c:pt idx="3">
                  <c:v>方便获取专业信息，如医疗健康信息等</c:v>
                </c:pt>
                <c:pt idx="4">
                  <c:v>帮助增加收入，如能卖出农产品</c:v>
                </c:pt>
                <c:pt idx="5">
                  <c:v>上网费用减少</c:v>
                </c:pt>
                <c:pt idx="6">
                  <c:v>方便购买商品</c:v>
                </c:pt>
              </c:strCache>
            </c:strRef>
          </c:cat>
          <c:val>
            <c:numRef>
              <c:f>Sheet1!$B$2:$B$8</c:f>
              <c:numCache>
                <c:formatCode>0.0%</c:formatCode>
                <c:ptCount val="7"/>
                <c:pt idx="0">
                  <c:v>0.229362515263106</c:v>
                </c:pt>
                <c:pt idx="1">
                  <c:v>0.223</c:v>
                </c:pt>
                <c:pt idx="2">
                  <c:v>0.201378495477369</c:v>
                </c:pt>
                <c:pt idx="3">
                  <c:v>0.196855018686796</c:v>
                </c:pt>
                <c:pt idx="4">
                  <c:v>0.19561564714731</c:v>
                </c:pt>
                <c:pt idx="5">
                  <c:v>0.19539649074177701</c:v>
                </c:pt>
                <c:pt idx="6">
                  <c:v>0.16200000000000001</c:v>
                </c:pt>
              </c:numCache>
            </c:numRef>
          </c:val>
          <c:extLst>
            <c:ext xmlns:c16="http://schemas.microsoft.com/office/drawing/2014/chart" uri="{C3380CC4-5D6E-409C-BE32-E72D297353CC}">
              <c16:uniqueId val="{00000001-7BC9-4BD4-8900-C80C86A20139}"/>
            </c:ext>
          </c:extLst>
        </c:ser>
        <c:dLbls>
          <c:showLegendKey val="0"/>
          <c:showVal val="0"/>
          <c:showCatName val="0"/>
          <c:showSerName val="0"/>
          <c:showPercent val="0"/>
          <c:showBubbleSize val="0"/>
        </c:dLbls>
        <c:gapWidth val="150"/>
        <c:axId val="567615552"/>
        <c:axId val="567590912"/>
      </c:barChart>
      <c:catAx>
        <c:axId val="567615552"/>
        <c:scaling>
          <c:orientation val="maxMin"/>
        </c:scaling>
        <c:delete val="0"/>
        <c:axPos val="l"/>
        <c:numFmt formatCode="General" sourceLinked="1"/>
        <c:majorTickMark val="out"/>
        <c:minorTickMark val="none"/>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mj-ea"/>
                <a:ea typeface="+mj-ea"/>
                <a:cs typeface="Arial" panose="020B0604020202020204" pitchFamily="2" charset="0"/>
              </a:defRPr>
            </a:pPr>
            <a:endParaRPr lang="zh-CN"/>
          </a:p>
        </c:txPr>
        <c:crossAx val="567590912"/>
        <c:crosses val="autoZero"/>
        <c:auto val="1"/>
        <c:lblAlgn val="ctr"/>
        <c:lblOffset val="100"/>
        <c:noMultiLvlLbl val="0"/>
      </c:catAx>
      <c:valAx>
        <c:axId val="567590912"/>
        <c:scaling>
          <c:orientation val="minMax"/>
        </c:scaling>
        <c:delete val="1"/>
        <c:axPos val="t"/>
        <c:numFmt formatCode="0%" sourceLinked="0"/>
        <c:majorTickMark val="in"/>
        <c:minorTickMark val="none"/>
        <c:tickLblPos val="none"/>
        <c:crossAx val="56761555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00">
                <a:latin typeface="Times New Roman" panose="02020603050405020304" charset="0"/>
                <a:ea typeface="Times New Roman" panose="02020603050405020304" charset="0"/>
                <a:cs typeface="Times New Roman" panose="02020603050405020304" charset="0"/>
                <a:sym typeface="Times New Roman" panose="02020603050405020304" charset="0"/>
              </a:rPr>
              <a:t>网民性别结构</a:t>
            </a:r>
          </a:p>
        </c:rich>
      </c:tx>
      <c:layout>
        <c:manualLayout>
          <c:xMode val="edge"/>
          <c:yMode val="edge"/>
          <c:x val="0.42615586095216401"/>
          <c:y val="1.6E-2"/>
        </c:manualLayout>
      </c:layout>
      <c:overlay val="0"/>
    </c:title>
    <c:autoTitleDeleted val="0"/>
    <c:plotArea>
      <c:layout>
        <c:manualLayout>
          <c:layoutTarget val="inner"/>
          <c:xMode val="edge"/>
          <c:yMode val="edge"/>
          <c:x val="0.360581637976022"/>
          <c:y val="0.26051713415341199"/>
          <c:w val="0.30411573553305798"/>
          <c:h val="0.563508568781802"/>
        </c:manualLayout>
      </c:layout>
      <c:pieChart>
        <c:varyColors val="1"/>
        <c:ser>
          <c:idx val="0"/>
          <c:order val="0"/>
          <c:tx>
            <c:strRef>
              <c:f>Sheet1!$B$1</c:f>
              <c:strCache>
                <c:ptCount val="1"/>
                <c:pt idx="0">
                  <c:v>列2</c:v>
                </c:pt>
              </c:strCache>
            </c:strRef>
          </c:tx>
          <c:spPr>
            <a:solidFill>
              <a:srgbClr val="558ED5"/>
            </a:solidFill>
            <a:ln w="9525" cap="flat" cmpd="sng" algn="ctr">
              <a:noFill/>
              <a:prstDash val="solid"/>
              <a:round/>
            </a:ln>
          </c:spPr>
          <c:dPt>
            <c:idx val="0"/>
            <c:bubble3D val="0"/>
            <c:extLst>
              <c:ext xmlns:c16="http://schemas.microsoft.com/office/drawing/2014/chart" uri="{C3380CC4-5D6E-409C-BE32-E72D297353CC}">
                <c16:uniqueId val="{00000000-F207-46EB-A89F-614D69F83CBE}"/>
              </c:ext>
            </c:extLst>
          </c:dPt>
          <c:dPt>
            <c:idx val="1"/>
            <c:bubble3D val="0"/>
            <c:spPr>
              <a:solidFill>
                <a:srgbClr val="C6D9F1"/>
              </a:solidFill>
              <a:ln w="9525" cap="flat" cmpd="sng" algn="ctr">
                <a:noFill/>
                <a:prstDash val="solid"/>
                <a:round/>
              </a:ln>
            </c:spPr>
            <c:extLst>
              <c:ext xmlns:c16="http://schemas.microsoft.com/office/drawing/2014/chart" uri="{C3380CC4-5D6E-409C-BE32-E72D297353CC}">
                <c16:uniqueId val="{00000002-F207-46EB-A89F-614D69F83CBE}"/>
              </c:ext>
            </c:extLst>
          </c:dPt>
          <c:dLbls>
            <c:dLbl>
              <c:idx val="0"/>
              <c:layout>
                <c:manualLayout>
                  <c:x val="2.94967907622725E-2"/>
                  <c:y val="-5.970356646595649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07-46EB-A89F-614D69F83CBE}"/>
                </c:ext>
              </c:extLst>
            </c:dLbl>
            <c:dLbl>
              <c:idx val="1"/>
              <c:layout>
                <c:manualLayout>
                  <c:x val="-9.5318837625335603E-3"/>
                  <c:y val="-7.983494041854390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07-46EB-A89F-614D69F83CBE}"/>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0.0%</c:formatCode>
                <c:ptCount val="2"/>
                <c:pt idx="0">
                  <c:v>0.50800000000000001</c:v>
                </c:pt>
                <c:pt idx="1">
                  <c:v>0.49199999999999999</c:v>
                </c:pt>
              </c:numCache>
            </c:numRef>
          </c:val>
          <c:extLst>
            <c:ext xmlns:c16="http://schemas.microsoft.com/office/drawing/2014/chart" uri="{C3380CC4-5D6E-409C-BE32-E72D297353CC}">
              <c16:uniqueId val="{00000003-F207-46EB-A89F-614D69F83CBE}"/>
            </c:ext>
          </c:extLst>
        </c:ser>
        <c:dLbls>
          <c:showLegendKey val="0"/>
          <c:showVal val="0"/>
          <c:showCatName val="0"/>
          <c:showSerName val="0"/>
          <c:showPercent val="0"/>
          <c:showBubbleSize val="0"/>
          <c:showLeaderLines val="0"/>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6350" cap="flat" cmpd="sng" algn="ctr">
      <a:solidFill>
        <a:srgbClr val="5B9BD5"/>
      </a:solidFill>
      <a:prstDash val="solid"/>
      <a:round/>
    </a:ln>
  </c:spPr>
  <c:txPr>
    <a:bodyPr/>
    <a:lstStyle/>
    <a:p>
      <a:pPr>
        <a:defRPr lang="zh-CN"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u="none" strike="noStrike" baseline="0">
                <a:effectLst/>
              </a:rPr>
              <a:t>IPv6</a:t>
            </a:r>
            <a:r>
              <a:rPr lang="zh-CN" altLang="en-US" sz="1000" b="1" i="0" u="none" strike="noStrike" baseline="0">
                <a:effectLst/>
              </a:rPr>
              <a:t>活</a:t>
            </a:r>
            <a:r>
              <a:rPr lang="zh-CN" altLang="zh-CN" sz="1000" b="1" i="0" u="none" strike="noStrike" baseline="0">
                <a:effectLst/>
              </a:rPr>
              <a:t>跃用户数</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5700440618497797"/>
          <c:h val="0.57212007439467405"/>
        </c:manualLayout>
      </c:layout>
      <c:barChart>
        <c:barDir val="col"/>
        <c:grouping val="clustered"/>
        <c:varyColors val="0"/>
        <c:ser>
          <c:idx val="0"/>
          <c:order val="0"/>
          <c:tx>
            <c:strRef>
              <c:f>Sheet1!$B$1</c:f>
              <c:strCache>
                <c:ptCount val="1"/>
                <c:pt idx="0">
                  <c:v>IPv6活跃用户数（亿）</c:v>
                </c:pt>
              </c:strCache>
            </c:strRef>
          </c:tx>
          <c:spPr>
            <a:solidFill>
              <a:srgbClr val="5B9BD5"/>
            </a:solidFill>
            <a:ln w="12700" cap="flat" cmpd="sng" algn="ctr">
              <a:noFill/>
              <a:prstDash val="solid"/>
              <a:round/>
            </a:ln>
          </c:spPr>
          <c:invertIfNegative val="0"/>
          <c:dLbls>
            <c:numFmt formatCode="#,##0.00_);[Red]\(#,##0.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2024年5月</c:v>
                </c:pt>
              </c:strCache>
            </c:strRef>
          </c:cat>
          <c:val>
            <c:numRef>
              <c:f>Sheet1!$B$2:$B$6</c:f>
              <c:numCache>
                <c:formatCode>0.00_ </c:formatCode>
                <c:ptCount val="5"/>
                <c:pt idx="0">
                  <c:v>6.63</c:v>
                </c:pt>
                <c:pt idx="1">
                  <c:v>7.14</c:v>
                </c:pt>
                <c:pt idx="2">
                  <c:v>7.55</c:v>
                </c:pt>
                <c:pt idx="3">
                  <c:v>7.7</c:v>
                </c:pt>
                <c:pt idx="4">
                  <c:v>7.94</c:v>
                </c:pt>
              </c:numCache>
            </c:numRef>
          </c:val>
          <c:extLst>
            <c:ext xmlns:c16="http://schemas.microsoft.com/office/drawing/2014/chart" uri="{C3380CC4-5D6E-409C-BE32-E72D297353CC}">
              <c16:uniqueId val="{00000000-862C-4D60-915C-49D3F26949A5}"/>
            </c:ext>
          </c:extLst>
        </c:ser>
        <c:dLbls>
          <c:showLegendKey val="0"/>
          <c:showVal val="1"/>
          <c:showCatName val="0"/>
          <c:showSerName val="0"/>
          <c:showPercent val="0"/>
          <c:showBubbleSize val="0"/>
        </c:dLbls>
        <c:gapWidth val="150"/>
        <c:axId val="797737280"/>
        <c:axId val="797733920"/>
      </c:barChart>
      <c:catAx>
        <c:axId val="79773728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97733920"/>
        <c:crosses val="autoZero"/>
        <c:auto val="1"/>
        <c:lblAlgn val="ctr"/>
        <c:lblOffset val="100"/>
        <c:noMultiLvlLbl val="0"/>
      </c:catAx>
      <c:valAx>
        <c:axId val="797733920"/>
        <c:scaling>
          <c:orientation val="minMax"/>
          <c:max val="10"/>
          <c:min val="0"/>
        </c:scaling>
        <c:delete val="0"/>
        <c:axPos val="l"/>
        <c:numFmt formatCode="0_ "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97737280"/>
        <c:crosses val="autoZero"/>
        <c:crossBetween val="between"/>
        <c:majorUnit val="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mj-ea"/>
                <a:ea typeface="+mj-ea"/>
                <a:cs typeface="Arial" panose="020B0604020202020204" pitchFamily="2" charset="0"/>
              </a:defRPr>
            </a:pPr>
            <a:r>
              <a:rPr lang="zh-CN" altLang="en-US" sz="1000">
                <a:latin typeface="+mj-ea"/>
                <a:ea typeface="+mj-ea"/>
              </a:rPr>
              <a:t>网民年龄结构</a:t>
            </a:r>
          </a:p>
        </c:rich>
      </c:tx>
      <c:overlay val="1"/>
    </c:title>
    <c:autoTitleDeleted val="0"/>
    <c:plotArea>
      <c:layout>
        <c:manualLayout>
          <c:layoutTarget val="inner"/>
          <c:xMode val="edge"/>
          <c:yMode val="edge"/>
          <c:x val="4.98311163275953E-2"/>
          <c:y val="0.14650391592617201"/>
          <c:w val="0.91774560945923001"/>
          <c:h val="0.60900525988468301"/>
        </c:manualLayout>
      </c:layout>
      <c:barChart>
        <c:barDir val="col"/>
        <c:grouping val="clustered"/>
        <c:varyColors val="0"/>
        <c:ser>
          <c:idx val="0"/>
          <c:order val="0"/>
          <c:tx>
            <c:strRef>
              <c:f>Sheet1!$C$1</c:f>
              <c:strCache>
                <c:ptCount val="1"/>
                <c:pt idx="0">
                  <c:v>2018.12</c:v>
                </c:pt>
              </c:strCache>
            </c:strRef>
          </c:tx>
          <c:spPr>
            <a:solidFill>
              <a:srgbClr val="5B9BD5"/>
            </a:solidFill>
            <a:ln w="12700" cap="flat" cmpd="sng" algn="ctr">
              <a:solidFill>
                <a:schemeClr val="lt1">
                  <a:shade val="95000"/>
                  <a:satMod val="105000"/>
                </a:schemeClr>
              </a:solid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Sheet1!$C$2:$C$8</c:f>
            </c:numRef>
          </c:val>
          <c:extLst>
            <c:ext xmlns:c16="http://schemas.microsoft.com/office/drawing/2014/chart" uri="{C3380CC4-5D6E-409C-BE32-E72D297353CC}">
              <c16:uniqueId val="{00000000-F8A6-46A2-8995-2547D946BA97}"/>
            </c:ext>
          </c:extLst>
        </c:ser>
        <c:ser>
          <c:idx val="1"/>
          <c:order val="1"/>
          <c:tx>
            <c:strRef>
              <c:f>Sheet1!$B$1</c:f>
              <c:strCache>
                <c:ptCount val="1"/>
                <c:pt idx="0">
                  <c:v>2024.6</c:v>
                </c:pt>
              </c:strCache>
            </c:strRef>
          </c:tx>
          <c:spPr>
            <a:solidFill>
              <a:srgbClr val="5B9BD5"/>
            </a:solidFill>
            <a:ln w="12700" cap="flat" cmpd="sng" algn="ctr">
              <a:noFill/>
              <a:prstDash val="solid"/>
              <a:round/>
            </a:ln>
          </c:spPr>
          <c:invertIfNegative val="0"/>
          <c:dLbls>
            <c:dLbl>
              <c:idx val="1"/>
              <c:layout>
                <c:manualLayout>
                  <c:x val="5.52104899930982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A6-46A2-8995-2547D946BA97}"/>
                </c:ext>
              </c:extLst>
            </c:dLbl>
            <c:dLbl>
              <c:idx val="3"/>
              <c:layout>
                <c:manualLayout>
                  <c:x val="5.5210489993098699E-3"/>
                  <c:y val="-4.90846627779084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A6-46A2-8995-2547D946BA97}"/>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Sheet1!$B$2:$B$8</c:f>
              <c:numCache>
                <c:formatCode>0.0%</c:formatCode>
                <c:ptCount val="7"/>
                <c:pt idx="0">
                  <c:v>3.5343294637302902E-2</c:v>
                </c:pt>
                <c:pt idx="1">
                  <c:v>0.136386093663078</c:v>
                </c:pt>
                <c:pt idx="2">
                  <c:v>0.134984619218319</c:v>
                </c:pt>
                <c:pt idx="3">
                  <c:v>0.19330714766328499</c:v>
                </c:pt>
                <c:pt idx="4">
                  <c:v>0.16734188140515299</c:v>
                </c:pt>
                <c:pt idx="5">
                  <c:v>0.18952188256056901</c:v>
                </c:pt>
                <c:pt idx="6">
                  <c:v>0.14311508085229299</c:v>
                </c:pt>
              </c:numCache>
            </c:numRef>
          </c:val>
          <c:extLst>
            <c:ext xmlns:c16="http://schemas.microsoft.com/office/drawing/2014/chart" uri="{C3380CC4-5D6E-409C-BE32-E72D297353CC}">
              <c16:uniqueId val="{00000003-F8A6-46A2-8995-2547D946BA97}"/>
            </c:ext>
          </c:extLst>
        </c:ser>
        <c:dLbls>
          <c:showLegendKey val="0"/>
          <c:showVal val="0"/>
          <c:showCatName val="0"/>
          <c:showSerName val="0"/>
          <c:showPercent val="0"/>
          <c:showBubbleSize val="0"/>
        </c:dLbls>
        <c:gapWidth val="100"/>
        <c:overlap val="-20"/>
        <c:axId val="506364432"/>
        <c:axId val="507345808"/>
      </c:barChart>
      <c:catAx>
        <c:axId val="506364432"/>
        <c:scaling>
          <c:orientation val="minMax"/>
        </c:scaling>
        <c:delete val="0"/>
        <c:axPos val="b"/>
        <c:numFmt formatCode="General" sourceLinked="1"/>
        <c:majorTickMark val="out"/>
        <c:minorTickMark val="none"/>
        <c:tickLblPos val="nextTo"/>
        <c:spPr>
          <a:ln w="9525" cap="flat" cmpd="sng" algn="ctr">
            <a:solidFill>
              <a:schemeClr val="tx1">
                <a:tint val="75000"/>
                <a:shade val="95000"/>
                <a:satMod val="10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j-ea"/>
                <a:cs typeface="Times New Roman" panose="02020603050405020304" charset="0"/>
              </a:defRPr>
            </a:pPr>
            <a:endParaRPr lang="zh-CN"/>
          </a:p>
        </c:txPr>
        <c:crossAx val="507345808"/>
        <c:crosses val="autoZero"/>
        <c:auto val="1"/>
        <c:lblAlgn val="ctr"/>
        <c:lblOffset val="100"/>
        <c:noMultiLvlLbl val="0"/>
      </c:catAx>
      <c:valAx>
        <c:axId val="507345808"/>
        <c:scaling>
          <c:orientation val="minMax"/>
          <c:min val="0"/>
        </c:scaling>
        <c:delete val="1"/>
        <c:axPos val="l"/>
        <c:numFmt formatCode="0%" sourceLinked="0"/>
        <c:majorTickMark val="in"/>
        <c:minorTickMark val="none"/>
        <c:tickLblPos val="none"/>
        <c:crossAx val="506364432"/>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mj-ea"/>
                <a:ea typeface="+mj-ea"/>
                <a:cs typeface="Arial" panose="020B0604020202020204" pitchFamily="2" charset="0"/>
              </a:defRPr>
            </a:pPr>
            <a:r>
              <a:rPr lang="zh-CN" altLang="en-US" sz="1000">
                <a:latin typeface="+mj-ea"/>
                <a:ea typeface="+mj-ea"/>
              </a:rPr>
              <a:t>互联网接入设备使用情况</a:t>
            </a:r>
          </a:p>
        </c:rich>
      </c:tx>
      <c:overlay val="1"/>
    </c:title>
    <c:autoTitleDeleted val="0"/>
    <c:plotArea>
      <c:layout>
        <c:manualLayout>
          <c:layoutTarget val="inner"/>
          <c:xMode val="edge"/>
          <c:yMode val="edge"/>
          <c:x val="3.1380971290027898E-2"/>
          <c:y val="0.199752207491635"/>
          <c:w val="0.954645959845425"/>
          <c:h val="0.55575708787200295"/>
        </c:manualLayout>
      </c:layout>
      <c:barChart>
        <c:barDir val="col"/>
        <c:grouping val="clustered"/>
        <c:varyColors val="0"/>
        <c:ser>
          <c:idx val="0"/>
          <c:order val="0"/>
          <c:tx>
            <c:strRef>
              <c:f>Sheet1!$C$1</c:f>
              <c:strCache>
                <c:ptCount val="1"/>
                <c:pt idx="0">
                  <c:v>2018.12</c:v>
                </c:pt>
              </c:strCache>
            </c:strRef>
          </c:tx>
          <c:spPr>
            <a:solidFill>
              <a:srgbClr val="5B9BD5"/>
            </a:solidFill>
            <a:ln w="12700" cap="flat" cmpd="sng" algn="ctr">
              <a:solidFill>
                <a:schemeClr val="lt1">
                  <a:shade val="95000"/>
                  <a:satMod val="105000"/>
                </a:schemeClr>
              </a:solid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台式电脑</c:v>
                </c:pt>
                <c:pt idx="1">
                  <c:v>笔记本电脑</c:v>
                </c:pt>
                <c:pt idx="2">
                  <c:v>手机</c:v>
                </c:pt>
                <c:pt idx="3">
                  <c:v>电视</c:v>
                </c:pt>
                <c:pt idx="4">
                  <c:v>平板电脑</c:v>
                </c:pt>
                <c:pt idx="5">
                  <c:v>智能网联汽车</c:v>
                </c:pt>
                <c:pt idx="6">
                  <c:v>智能家居设备</c:v>
                </c:pt>
                <c:pt idx="7">
                  <c:v>个人可穿戴设备</c:v>
                </c:pt>
              </c:strCache>
            </c:strRef>
          </c:cat>
          <c:val>
            <c:numRef>
              <c:f>Sheet1!$C$2:$C$8</c:f>
            </c:numRef>
          </c:val>
          <c:extLst>
            <c:ext xmlns:c16="http://schemas.microsoft.com/office/drawing/2014/chart" uri="{C3380CC4-5D6E-409C-BE32-E72D297353CC}">
              <c16:uniqueId val="{00000000-C9CD-4633-ABA6-5C16E658F820}"/>
            </c:ext>
          </c:extLst>
        </c:ser>
        <c:ser>
          <c:idx val="1"/>
          <c:order val="1"/>
          <c:tx>
            <c:strRef>
              <c:f>Sheet1!$B$1</c:f>
              <c:strCache>
                <c:ptCount val="1"/>
                <c:pt idx="0">
                  <c:v>2024.6</c:v>
                </c:pt>
              </c:strCache>
            </c:strRef>
          </c:tx>
          <c:spPr>
            <a:solidFill>
              <a:srgbClr val="5B9BD5"/>
            </a:solidFill>
            <a:ln w="12700" cap="flat" cmpd="sng" algn="ctr">
              <a:noFill/>
              <a:prstDash val="solid"/>
              <a:round/>
            </a:ln>
          </c:spPr>
          <c:invertIfNegative val="0"/>
          <c:dLbls>
            <c:dLbl>
              <c:idx val="1"/>
              <c:layout>
                <c:manualLayout>
                  <c:x val="5.52104899930982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CD-4633-ABA6-5C16E658F820}"/>
                </c:ext>
              </c:extLst>
            </c:dLbl>
            <c:dLbl>
              <c:idx val="3"/>
              <c:layout>
                <c:manualLayout>
                  <c:x val="5.5210489993098699E-3"/>
                  <c:y val="-4.90846627779084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CD-4633-ABA6-5C16E658F820}"/>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台式电脑</c:v>
                </c:pt>
                <c:pt idx="1">
                  <c:v>笔记本电脑</c:v>
                </c:pt>
                <c:pt idx="2">
                  <c:v>手机</c:v>
                </c:pt>
                <c:pt idx="3">
                  <c:v>电视</c:v>
                </c:pt>
                <c:pt idx="4">
                  <c:v>平板电脑</c:v>
                </c:pt>
                <c:pt idx="5">
                  <c:v>智能网联汽车</c:v>
                </c:pt>
                <c:pt idx="6">
                  <c:v>智能家居设备</c:v>
                </c:pt>
                <c:pt idx="7">
                  <c:v>个人可穿戴设备</c:v>
                </c:pt>
              </c:strCache>
            </c:strRef>
          </c:cat>
          <c:val>
            <c:numRef>
              <c:f>Sheet1!$B$2:$B$9</c:f>
              <c:numCache>
                <c:formatCode>0.0%</c:formatCode>
                <c:ptCount val="8"/>
                <c:pt idx="0">
                  <c:v>0.34156696079684901</c:v>
                </c:pt>
                <c:pt idx="1">
                  <c:v>0.32362225077567902</c:v>
                </c:pt>
                <c:pt idx="2">
                  <c:v>0.99666263515418296</c:v>
                </c:pt>
                <c:pt idx="3">
                  <c:v>0.25195341476031002</c:v>
                </c:pt>
                <c:pt idx="4">
                  <c:v>0.30540750843479098</c:v>
                </c:pt>
                <c:pt idx="5">
                  <c:v>0.10411963856112599</c:v>
                </c:pt>
                <c:pt idx="6">
                  <c:v>0.21911782982203701</c:v>
                </c:pt>
                <c:pt idx="7">
                  <c:v>0.24209995491640299</c:v>
                </c:pt>
              </c:numCache>
            </c:numRef>
          </c:val>
          <c:extLst>
            <c:ext xmlns:c16="http://schemas.microsoft.com/office/drawing/2014/chart" uri="{C3380CC4-5D6E-409C-BE32-E72D297353CC}">
              <c16:uniqueId val="{00000003-C9CD-4633-ABA6-5C16E658F820}"/>
            </c:ext>
          </c:extLst>
        </c:ser>
        <c:dLbls>
          <c:showLegendKey val="0"/>
          <c:showVal val="0"/>
          <c:showCatName val="0"/>
          <c:showSerName val="0"/>
          <c:showPercent val="0"/>
          <c:showBubbleSize val="0"/>
        </c:dLbls>
        <c:gapWidth val="100"/>
        <c:overlap val="-20"/>
        <c:axId val="853700880"/>
        <c:axId val="853701440"/>
      </c:barChart>
      <c:catAx>
        <c:axId val="853700880"/>
        <c:scaling>
          <c:orientation val="minMax"/>
        </c:scaling>
        <c:delete val="0"/>
        <c:axPos val="b"/>
        <c:numFmt formatCode="General" sourceLinked="1"/>
        <c:majorTickMark val="out"/>
        <c:minorTickMark val="none"/>
        <c:tickLblPos val="nextTo"/>
        <c:spPr>
          <a:ln w="9525" cap="flat" cmpd="sng" algn="ctr">
            <a:solidFill>
              <a:schemeClr val="tx1">
                <a:tint val="75000"/>
                <a:shade val="95000"/>
                <a:satMod val="105000"/>
              </a:schemeClr>
            </a:solidFill>
            <a:prstDash val="solid"/>
            <a:round/>
          </a:ln>
        </c:spPr>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mj-ea"/>
                <a:cs typeface="Times New Roman" panose="02020603050405020304" charset="0"/>
              </a:defRPr>
            </a:pPr>
            <a:endParaRPr lang="zh-CN"/>
          </a:p>
        </c:txPr>
        <c:crossAx val="853701440"/>
        <c:crosses val="autoZero"/>
        <c:auto val="1"/>
        <c:lblAlgn val="ctr"/>
        <c:lblOffset val="100"/>
        <c:noMultiLvlLbl val="0"/>
      </c:catAx>
      <c:valAx>
        <c:axId val="853701440"/>
        <c:scaling>
          <c:orientation val="minMax"/>
          <c:min val="0"/>
        </c:scaling>
        <c:delete val="1"/>
        <c:axPos val="l"/>
        <c:numFmt formatCode="0%" sourceLinked="0"/>
        <c:majorTickMark val="in"/>
        <c:minorTickMark val="none"/>
        <c:tickLblPos val="none"/>
        <c:crossAx val="853700880"/>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宋体" panose="02010600030101010101" charset="-122"/>
                <a:ea typeface="宋体" panose="02010600030101010101" charset="-122"/>
                <a:cs typeface="Arial" panose="020B0604020202020204" pitchFamily="2" charset="0"/>
              </a:defRPr>
            </a:pPr>
            <a:r>
              <a:rPr lang="zh-CN" altLang="zh-CN" sz="1000" b="1" i="0" u="none" strike="noStrike" baseline="0">
                <a:effectLst/>
              </a:rPr>
              <a:t>网民掌握部分数字素养与技能的情况</a:t>
            </a:r>
            <a:endParaRPr lang="zh-CN" altLang="en-US" sz="1000">
              <a:solidFill>
                <a:sysClr val="windowText" lastClr="000000"/>
              </a:solidFill>
              <a:latin typeface="宋体" panose="02010600030101010101" charset="-122"/>
              <a:ea typeface="宋体" panose="02010600030101010101" charset="-122"/>
            </a:endParaRPr>
          </a:p>
        </c:rich>
      </c:tx>
      <c:layout>
        <c:manualLayout>
          <c:xMode val="edge"/>
          <c:yMode val="edge"/>
          <c:x val="0.3374104337853"/>
          <c:y val="2.5826192947746501E-2"/>
        </c:manualLayout>
      </c:layout>
      <c:overlay val="0"/>
    </c:title>
    <c:autoTitleDeleted val="0"/>
    <c:plotArea>
      <c:layout>
        <c:manualLayout>
          <c:layoutTarget val="inner"/>
          <c:xMode val="edge"/>
          <c:yMode val="edge"/>
          <c:x val="0.52398116942374695"/>
          <c:y val="0.109783021495303"/>
          <c:w val="0.410678026485499"/>
          <c:h val="0.69719906394337405"/>
        </c:manualLayout>
      </c:layout>
      <c:barChart>
        <c:barDir val="bar"/>
        <c:grouping val="stacked"/>
        <c:varyColors val="0"/>
        <c:ser>
          <c:idx val="0"/>
          <c:order val="0"/>
          <c:tx>
            <c:strRef>
              <c:f>Sheet1!$B$1</c:f>
              <c:strCache>
                <c:ptCount val="1"/>
                <c:pt idx="0">
                  <c:v>熟练掌握</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10"/>
              <c:layout>
                <c:manualLayout>
                  <c:x val="1.4517299782240501E-2"/>
                  <c:y val="3.2911246595742899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8C-439C-A72F-70BFF560BEBE}"/>
                </c:ext>
              </c:extLst>
            </c:dLbl>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复制、粘贴电脑或手机里的信息</c:v>
                </c:pt>
                <c:pt idx="1">
                  <c:v>用电脑或手机搜索、下载、安装及配置软件</c:v>
                </c:pt>
                <c:pt idx="2">
                  <c:v>在手机软件中绑定或解绑银行卡，并进行支付操作</c:v>
                </c:pt>
                <c:pt idx="3">
                  <c:v>在互联网上搜索信息并辨别真假</c:v>
                </c:pt>
                <c:pt idx="4">
                  <c:v>用电脑与手机等其他设备进行文件、应用程序传输</c:v>
                </c:pt>
                <c:pt idx="5">
                  <c:v>在互联网上发表观点，并与他人交流联系</c:v>
                </c:pt>
                <c:pt idx="6">
                  <c:v>在电脑上连接和安装外接设备</c:v>
                </c:pt>
                <c:pt idx="7">
                  <c:v>使用文本编辑工具</c:v>
                </c:pt>
                <c:pt idx="8">
                  <c:v>修改电脑或手机的安全隐私设置</c:v>
                </c:pt>
                <c:pt idx="9">
                  <c:v>使用表格或数据工具</c:v>
                </c:pt>
                <c:pt idx="10">
                  <c:v>使用编程语言编写计算机程序</c:v>
                </c:pt>
              </c:strCache>
            </c:strRef>
          </c:cat>
          <c:val>
            <c:numRef>
              <c:f>Sheet1!$B$2:$B$12</c:f>
              <c:numCache>
                <c:formatCode>0.0%</c:formatCode>
                <c:ptCount val="11"/>
                <c:pt idx="0">
                  <c:v>0.45560094352751301</c:v>
                </c:pt>
                <c:pt idx="1">
                  <c:v>0.40469991317821702</c:v>
                </c:pt>
                <c:pt idx="2">
                  <c:v>0.38976891054568702</c:v>
                </c:pt>
                <c:pt idx="3">
                  <c:v>0.28889296967619699</c:v>
                </c:pt>
                <c:pt idx="4">
                  <c:v>0.281559331911233</c:v>
                </c:pt>
                <c:pt idx="5">
                  <c:v>0.25790950009258901</c:v>
                </c:pt>
                <c:pt idx="6">
                  <c:v>0.24506204134955201</c:v>
                </c:pt>
                <c:pt idx="7">
                  <c:v>0.24093306890718399</c:v>
                </c:pt>
                <c:pt idx="8">
                  <c:v>0.210692572221268</c:v>
                </c:pt>
                <c:pt idx="9">
                  <c:v>0.19246342829291699</c:v>
                </c:pt>
                <c:pt idx="10">
                  <c:v>4.0853883181056101E-2</c:v>
                </c:pt>
              </c:numCache>
            </c:numRef>
          </c:val>
          <c:extLst>
            <c:ext xmlns:c16="http://schemas.microsoft.com/office/drawing/2014/chart" uri="{C3380CC4-5D6E-409C-BE32-E72D297353CC}">
              <c16:uniqueId val="{00000001-828C-439C-A72F-70BFF560BEBE}"/>
            </c:ext>
          </c:extLst>
        </c:ser>
        <c:ser>
          <c:idx val="1"/>
          <c:order val="1"/>
          <c:tx>
            <c:strRef>
              <c:f>Sheet1!$C$1</c:f>
              <c:strCache>
                <c:ptCount val="1"/>
                <c:pt idx="0">
                  <c:v>基本掌握</c:v>
                </c:pt>
              </c:strCache>
            </c:strRef>
          </c:tx>
          <c:invertIfNegative val="0"/>
          <c:dLbls>
            <c:dLbl>
              <c:idx val="10"/>
              <c:layout>
                <c:manualLayout>
                  <c:x val="2.9034599564481001E-2"/>
                  <c:y val="3.291124659574289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8C-439C-A72F-70BFF560BEBE}"/>
                </c:ext>
              </c:extLst>
            </c:dLbl>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复制、粘贴电脑或手机里的信息</c:v>
                </c:pt>
                <c:pt idx="1">
                  <c:v>用电脑或手机搜索、下载、安装及配置软件</c:v>
                </c:pt>
                <c:pt idx="2">
                  <c:v>在手机软件中绑定或解绑银行卡，并进行支付操作</c:v>
                </c:pt>
                <c:pt idx="3">
                  <c:v>在互联网上搜索信息并辨别真假</c:v>
                </c:pt>
                <c:pt idx="4">
                  <c:v>用电脑与手机等其他设备进行文件、应用程序传输</c:v>
                </c:pt>
                <c:pt idx="5">
                  <c:v>在互联网上发表观点，并与他人交流联系</c:v>
                </c:pt>
                <c:pt idx="6">
                  <c:v>在电脑上连接和安装外接设备</c:v>
                </c:pt>
                <c:pt idx="7">
                  <c:v>使用文本编辑工具</c:v>
                </c:pt>
                <c:pt idx="8">
                  <c:v>修改电脑或手机的安全隐私设置</c:v>
                </c:pt>
                <c:pt idx="9">
                  <c:v>使用表格或数据工具</c:v>
                </c:pt>
                <c:pt idx="10">
                  <c:v>使用编程语言编写计算机程序</c:v>
                </c:pt>
              </c:strCache>
            </c:strRef>
          </c:cat>
          <c:val>
            <c:numRef>
              <c:f>Sheet1!$C$2:$C$12</c:f>
              <c:numCache>
                <c:formatCode>0.0%</c:formatCode>
                <c:ptCount val="11"/>
                <c:pt idx="0">
                  <c:v>0.310409481312796</c:v>
                </c:pt>
                <c:pt idx="1">
                  <c:v>0.34815061771445499</c:v>
                </c:pt>
                <c:pt idx="2">
                  <c:v>0.35069591430953601</c:v>
                </c:pt>
                <c:pt idx="3">
                  <c:v>0.346847396944166</c:v>
                </c:pt>
                <c:pt idx="4">
                  <c:v>0.29390976828575099</c:v>
                </c:pt>
                <c:pt idx="5">
                  <c:v>0.332792618914244</c:v>
                </c:pt>
                <c:pt idx="6">
                  <c:v>0.29778319823452198</c:v>
                </c:pt>
                <c:pt idx="7">
                  <c:v>0.26440079547974299</c:v>
                </c:pt>
                <c:pt idx="8">
                  <c:v>0.33705023022703801</c:v>
                </c:pt>
                <c:pt idx="9">
                  <c:v>0.27062031227357602</c:v>
                </c:pt>
                <c:pt idx="10">
                  <c:v>0.15113987483211899</c:v>
                </c:pt>
              </c:numCache>
            </c:numRef>
          </c:val>
          <c:extLst>
            <c:ext xmlns:c16="http://schemas.microsoft.com/office/drawing/2014/chart" uri="{C3380CC4-5D6E-409C-BE32-E72D297353CC}">
              <c16:uniqueId val="{00000003-828C-439C-A72F-70BFF560BEBE}"/>
            </c:ext>
          </c:extLst>
        </c:ser>
        <c:ser>
          <c:idx val="2"/>
          <c:order val="2"/>
          <c:tx>
            <c:strRef>
              <c:f>Sheet1!$D$1</c:f>
              <c:strCache>
                <c:ptCount val="1"/>
                <c:pt idx="0">
                  <c:v>不掌握</c:v>
                </c:pt>
              </c:strCache>
            </c:strRef>
          </c:tx>
          <c:invertIfNegative val="0"/>
          <c:dLbls>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复制、粘贴电脑或手机里的信息</c:v>
                </c:pt>
                <c:pt idx="1">
                  <c:v>用电脑或手机搜索、下载、安装及配置软件</c:v>
                </c:pt>
                <c:pt idx="2">
                  <c:v>在手机软件中绑定或解绑银行卡，并进行支付操作</c:v>
                </c:pt>
                <c:pt idx="3">
                  <c:v>在互联网上搜索信息并辨别真假</c:v>
                </c:pt>
                <c:pt idx="4">
                  <c:v>用电脑与手机等其他设备进行文件、应用程序传输</c:v>
                </c:pt>
                <c:pt idx="5">
                  <c:v>在互联网上发表观点，并与他人交流联系</c:v>
                </c:pt>
                <c:pt idx="6">
                  <c:v>在电脑上连接和安装外接设备</c:v>
                </c:pt>
                <c:pt idx="7">
                  <c:v>使用文本编辑工具</c:v>
                </c:pt>
                <c:pt idx="8">
                  <c:v>修改电脑或手机的安全隐私设置</c:v>
                </c:pt>
                <c:pt idx="9">
                  <c:v>使用表格或数据工具</c:v>
                </c:pt>
                <c:pt idx="10">
                  <c:v>使用编程语言编写计算机程序</c:v>
                </c:pt>
              </c:strCache>
            </c:strRef>
          </c:cat>
          <c:val>
            <c:numRef>
              <c:f>Sheet1!$D$2:$D$12</c:f>
              <c:numCache>
                <c:formatCode>0.0%</c:formatCode>
                <c:ptCount val="11"/>
                <c:pt idx="0">
                  <c:v>0.23398957515968999</c:v>
                </c:pt>
                <c:pt idx="1">
                  <c:v>0.24714946910732899</c:v>
                </c:pt>
                <c:pt idx="2">
                  <c:v>0.25953517514477698</c:v>
                </c:pt>
                <c:pt idx="3">
                  <c:v>0.36425963337963801</c:v>
                </c:pt>
                <c:pt idx="4">
                  <c:v>0.424530899803016</c:v>
                </c:pt>
                <c:pt idx="5">
                  <c:v>0.409297880993168</c:v>
                </c:pt>
                <c:pt idx="6">
                  <c:v>0.45715476041592601</c:v>
                </c:pt>
                <c:pt idx="7">
                  <c:v>0.49466613561307199</c:v>
                </c:pt>
                <c:pt idx="8">
                  <c:v>0.45225719755169402</c:v>
                </c:pt>
                <c:pt idx="9">
                  <c:v>0.53691625943350696</c:v>
                </c:pt>
                <c:pt idx="10">
                  <c:v>0.80800624198682502</c:v>
                </c:pt>
              </c:numCache>
            </c:numRef>
          </c:val>
          <c:extLst>
            <c:ext xmlns:c16="http://schemas.microsoft.com/office/drawing/2014/chart" uri="{C3380CC4-5D6E-409C-BE32-E72D297353CC}">
              <c16:uniqueId val="{00000004-828C-439C-A72F-70BFF560BEBE}"/>
            </c:ext>
          </c:extLst>
        </c:ser>
        <c:dLbls>
          <c:showLegendKey val="0"/>
          <c:showVal val="0"/>
          <c:showCatName val="0"/>
          <c:showSerName val="0"/>
          <c:showPercent val="0"/>
          <c:showBubbleSize val="0"/>
        </c:dLbls>
        <c:gapWidth val="150"/>
        <c:overlap val="100"/>
        <c:axId val="853704800"/>
        <c:axId val="853705360"/>
      </c:barChart>
      <c:catAx>
        <c:axId val="853704800"/>
        <c:scaling>
          <c:orientation val="maxMin"/>
        </c:scaling>
        <c:delete val="0"/>
        <c:axPos val="l"/>
        <c:numFmt formatCode="General" sourceLinked="1"/>
        <c:majorTickMark val="out"/>
        <c:minorTickMark val="none"/>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mj-ea"/>
                <a:ea typeface="+mj-ea"/>
                <a:cs typeface="Arial" panose="020B0604020202020204" pitchFamily="2" charset="0"/>
              </a:defRPr>
            </a:pPr>
            <a:endParaRPr lang="zh-CN"/>
          </a:p>
        </c:txPr>
        <c:crossAx val="853705360"/>
        <c:crosses val="autoZero"/>
        <c:auto val="1"/>
        <c:lblAlgn val="ctr"/>
        <c:lblOffset val="100"/>
        <c:noMultiLvlLbl val="0"/>
      </c:catAx>
      <c:valAx>
        <c:axId val="853705360"/>
        <c:scaling>
          <c:orientation val="minMax"/>
          <c:max val="1"/>
        </c:scaling>
        <c:delete val="1"/>
        <c:axPos val="t"/>
        <c:numFmt formatCode="0%" sourceLinked="0"/>
        <c:majorTickMark val="out"/>
        <c:minorTickMark val="none"/>
        <c:tickLblPos val="nextTo"/>
        <c:crossAx val="853704800"/>
        <c:crosses val="autoZero"/>
        <c:crossBetween val="between"/>
      </c:valAx>
      <c:spPr>
        <a:noFill/>
        <a:ln w="12700">
          <a:noFill/>
        </a:ln>
      </c:spPr>
    </c:plotArea>
    <c:legend>
      <c:legendPos val="b"/>
      <c:layout>
        <c:manualLayout>
          <c:xMode val="edge"/>
          <c:yMode val="edge"/>
          <c:x val="0.17897144359495601"/>
          <c:y val="0.83362542064687095"/>
          <c:w val="0.61060277276615504"/>
          <c:h val="7.3263792186748403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rPr>
              <a:t>2022.6-2024.6</a:t>
            </a:r>
            <a:r>
              <a:rPr lang="zh-CN" altLang="zh-CN" sz="1000" b="1" i="0" baseline="0">
                <a:effectLst/>
              </a:rPr>
              <a:t>即时通信用户规模及使用</a:t>
            </a:r>
            <a:r>
              <a:rPr lang="zh-CN" altLang="en-US" sz="1000" b="1" i="0" baseline="0">
                <a:effectLst/>
              </a:rPr>
              <a:t>率</a:t>
            </a:r>
            <a:endParaRPr lang="zh-CN" altLang="en-US" sz="1000" b="1">
              <a:solidFill>
                <a:sysClr val="windowText" lastClr="000000"/>
              </a:solidFill>
              <a:latin typeface="微软雅黑" panose="020B0503020204020204" pitchFamily="34" charset="-122"/>
              <a:ea typeface="微软雅黑" panose="020B0503020204020204" pitchFamily="34" charset="-122"/>
            </a:endParaRPr>
          </a:p>
        </c:rich>
      </c:tx>
      <c:layout>
        <c:manualLayout>
          <c:xMode val="edge"/>
          <c:yMode val="edge"/>
          <c:x val="0.25251611058345302"/>
          <c:y val="0"/>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0_ </c:formatCode>
                <c:ptCount val="5"/>
                <c:pt idx="0">
                  <c:v>102707.734047322</c:v>
                </c:pt>
                <c:pt idx="1">
                  <c:v>103807.17010631799</c:v>
                </c:pt>
                <c:pt idx="2">
                  <c:v>104692.941988059</c:v>
                </c:pt>
                <c:pt idx="3">
                  <c:v>105962.573751298</c:v>
                </c:pt>
                <c:pt idx="4" formatCode="General">
                  <c:v>107787</c:v>
                </c:pt>
              </c:numCache>
            </c:numRef>
          </c:val>
          <c:extLst>
            <c:ext xmlns:c16="http://schemas.microsoft.com/office/drawing/2014/chart" uri="{C3380CC4-5D6E-409C-BE32-E72D297353CC}">
              <c16:uniqueId val="{00000000-7510-462B-BDED-51F72E7214EE}"/>
            </c:ext>
          </c:extLst>
        </c:ser>
        <c:dLbls>
          <c:showLegendKey val="0"/>
          <c:showVal val="1"/>
          <c:showCatName val="0"/>
          <c:showSerName val="0"/>
          <c:showPercent val="0"/>
          <c:showBubbleSize val="0"/>
        </c:dLbls>
        <c:gapWidth val="150"/>
        <c:axId val="853708160"/>
        <c:axId val="85370872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1"/>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10-462B-BDED-51F72E7214EE}"/>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0.97710470275130601</c:v>
                </c:pt>
                <c:pt idx="1">
                  <c:v>0.97248465765634995</c:v>
                </c:pt>
                <c:pt idx="2">
                  <c:v>0.97070110423558098</c:v>
                </c:pt>
                <c:pt idx="3">
                  <c:v>0.970133333072</c:v>
                </c:pt>
                <c:pt idx="4">
                  <c:v>0.98017587094310099</c:v>
                </c:pt>
              </c:numCache>
            </c:numRef>
          </c:val>
          <c:smooth val="0"/>
          <c:extLst>
            <c:ext xmlns:c16="http://schemas.microsoft.com/office/drawing/2014/chart" uri="{C3380CC4-5D6E-409C-BE32-E72D297353CC}">
              <c16:uniqueId val="{00000002-7510-462B-BDED-51F72E7214EE}"/>
            </c:ext>
          </c:extLst>
        </c:ser>
        <c:dLbls>
          <c:showLegendKey val="0"/>
          <c:showVal val="1"/>
          <c:showCatName val="0"/>
          <c:showSerName val="0"/>
          <c:showPercent val="0"/>
          <c:showBubbleSize val="0"/>
        </c:dLbls>
        <c:marker val="1"/>
        <c:smooth val="0"/>
        <c:axId val="853709280"/>
        <c:axId val="853709840"/>
      </c:lineChart>
      <c:catAx>
        <c:axId val="85370816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08720"/>
        <c:crosses val="autoZero"/>
        <c:auto val="1"/>
        <c:lblAlgn val="ctr"/>
        <c:lblOffset val="100"/>
        <c:noMultiLvlLbl val="0"/>
      </c:catAx>
      <c:valAx>
        <c:axId val="853708720"/>
        <c:scaling>
          <c:orientation val="minMax"/>
          <c:min val="0"/>
        </c:scaling>
        <c:delete val="0"/>
        <c:axPos val="l"/>
        <c:numFmt formatCode="0_ "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08160"/>
        <c:crosses val="autoZero"/>
        <c:crossBetween val="between"/>
        <c:majorUnit val="50000"/>
      </c:valAx>
      <c:catAx>
        <c:axId val="853709280"/>
        <c:scaling>
          <c:orientation val="minMax"/>
        </c:scaling>
        <c:delete val="1"/>
        <c:axPos val="b"/>
        <c:numFmt formatCode="General" sourceLinked="1"/>
        <c:majorTickMark val="out"/>
        <c:minorTickMark val="none"/>
        <c:tickLblPos val="none"/>
        <c:crossAx val="853709840"/>
        <c:crosses val="autoZero"/>
        <c:auto val="1"/>
        <c:lblAlgn val="ctr"/>
        <c:lblOffset val="100"/>
        <c:noMultiLvlLbl val="0"/>
      </c:catAx>
      <c:valAx>
        <c:axId val="853709840"/>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0928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zh-CN" sz="1000" b="1" i="0" u="none" strike="noStrike" baseline="0">
                <a:effectLst/>
              </a:rPr>
              <a:t>搜索引擎</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82147.292200286101</c:v>
                </c:pt>
                <c:pt idx="1">
                  <c:v>80166.242815657795</c:v>
                </c:pt>
                <c:pt idx="2">
                  <c:v>84129.009565222295</c:v>
                </c:pt>
                <c:pt idx="3">
                  <c:v>82669.746836127801</c:v>
                </c:pt>
                <c:pt idx="4">
                  <c:v>82439.974679612598</c:v>
                </c:pt>
              </c:numCache>
            </c:numRef>
          </c:val>
          <c:extLst>
            <c:ext xmlns:c16="http://schemas.microsoft.com/office/drawing/2014/chart" uri="{C3380CC4-5D6E-409C-BE32-E72D297353CC}">
              <c16:uniqueId val="{00000000-17C2-414D-8A6D-369FB4906C4D}"/>
            </c:ext>
          </c:extLst>
        </c:ser>
        <c:dLbls>
          <c:showLegendKey val="0"/>
          <c:showVal val="1"/>
          <c:showCatName val="0"/>
          <c:showSerName val="0"/>
          <c:showPercent val="0"/>
          <c:showBubbleSize val="0"/>
        </c:dLbls>
        <c:gapWidth val="150"/>
        <c:axId val="853712640"/>
        <c:axId val="85371320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C2-414D-8A6D-369FB4906C4D}"/>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0.78150400524076702</c:v>
                </c:pt>
                <c:pt idx="1">
                  <c:v>0.75101210369510096</c:v>
                </c:pt>
                <c:pt idx="2">
                  <c:v>0.78003465116608905</c:v>
                </c:pt>
                <c:pt idx="3">
                  <c:v>0.75687739739682403</c:v>
                </c:pt>
                <c:pt idx="4">
                  <c:v>0.74968043913369697</c:v>
                </c:pt>
              </c:numCache>
            </c:numRef>
          </c:val>
          <c:smooth val="0"/>
          <c:extLst>
            <c:ext xmlns:c16="http://schemas.microsoft.com/office/drawing/2014/chart" uri="{C3380CC4-5D6E-409C-BE32-E72D297353CC}">
              <c16:uniqueId val="{00000002-17C2-414D-8A6D-369FB4906C4D}"/>
            </c:ext>
          </c:extLst>
        </c:ser>
        <c:dLbls>
          <c:showLegendKey val="0"/>
          <c:showVal val="1"/>
          <c:showCatName val="0"/>
          <c:showSerName val="0"/>
          <c:showPercent val="0"/>
          <c:showBubbleSize val="0"/>
        </c:dLbls>
        <c:marker val="1"/>
        <c:smooth val="0"/>
        <c:axId val="853713760"/>
        <c:axId val="853714320"/>
      </c:lineChart>
      <c:catAx>
        <c:axId val="85371264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13200"/>
        <c:crosses val="autoZero"/>
        <c:auto val="1"/>
        <c:lblAlgn val="ctr"/>
        <c:lblOffset val="100"/>
        <c:noMultiLvlLbl val="0"/>
      </c:catAx>
      <c:valAx>
        <c:axId val="853713200"/>
        <c:scaling>
          <c:orientation val="minMax"/>
          <c:max val="15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12640"/>
        <c:crosses val="autoZero"/>
        <c:crossBetween val="between"/>
        <c:majorUnit val="50000"/>
      </c:valAx>
      <c:catAx>
        <c:axId val="853713760"/>
        <c:scaling>
          <c:orientation val="minMax"/>
        </c:scaling>
        <c:delete val="1"/>
        <c:axPos val="b"/>
        <c:numFmt formatCode="General" sourceLinked="1"/>
        <c:majorTickMark val="out"/>
        <c:minorTickMark val="none"/>
        <c:tickLblPos val="none"/>
        <c:crossAx val="853714320"/>
        <c:crosses val="autoZero"/>
        <c:auto val="1"/>
        <c:lblAlgn val="ctr"/>
        <c:lblOffset val="100"/>
        <c:noMultiLvlLbl val="0"/>
      </c:catAx>
      <c:valAx>
        <c:axId val="853714320"/>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1376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线上办公</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5251611058345302"/>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46065.786513742401</c:v>
                </c:pt>
                <c:pt idx="1">
                  <c:v>53962.030910782603</c:v>
                </c:pt>
                <c:pt idx="2">
                  <c:v>50748.385354009602</c:v>
                </c:pt>
                <c:pt idx="3">
                  <c:v>53705.614803134798</c:v>
                </c:pt>
                <c:pt idx="4">
                  <c:v>49958.568808686097</c:v>
                </c:pt>
              </c:numCache>
            </c:numRef>
          </c:val>
          <c:extLst>
            <c:ext xmlns:c16="http://schemas.microsoft.com/office/drawing/2014/chart" uri="{C3380CC4-5D6E-409C-BE32-E72D297353CC}">
              <c16:uniqueId val="{00000000-D47E-4CD9-A039-E07762C0D8E0}"/>
            </c:ext>
          </c:extLst>
        </c:ser>
        <c:dLbls>
          <c:showLegendKey val="0"/>
          <c:showVal val="1"/>
          <c:showCatName val="0"/>
          <c:showSerName val="0"/>
          <c:showPercent val="0"/>
          <c:showBubbleSize val="0"/>
        </c:dLbls>
        <c:gapWidth val="150"/>
        <c:axId val="853717120"/>
        <c:axId val="85371768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7E-4CD9-A039-E07762C0D8E0}"/>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0.43824447161668501</c:v>
                </c:pt>
                <c:pt idx="1">
                  <c:v>0.50552622813017101</c:v>
                </c:pt>
                <c:pt idx="2">
                  <c:v>0.47053328300706898</c:v>
                </c:pt>
                <c:pt idx="3">
                  <c:v>0.491698202951664</c:v>
                </c:pt>
                <c:pt idx="4">
                  <c:v>0.454305838260391</c:v>
                </c:pt>
              </c:numCache>
            </c:numRef>
          </c:val>
          <c:smooth val="0"/>
          <c:extLst>
            <c:ext xmlns:c16="http://schemas.microsoft.com/office/drawing/2014/chart" uri="{C3380CC4-5D6E-409C-BE32-E72D297353CC}">
              <c16:uniqueId val="{00000002-D47E-4CD9-A039-E07762C0D8E0}"/>
            </c:ext>
          </c:extLst>
        </c:ser>
        <c:dLbls>
          <c:showLegendKey val="0"/>
          <c:showVal val="1"/>
          <c:showCatName val="0"/>
          <c:showSerName val="0"/>
          <c:showPercent val="0"/>
          <c:showBubbleSize val="0"/>
        </c:dLbls>
        <c:marker val="1"/>
        <c:smooth val="0"/>
        <c:axId val="853718240"/>
        <c:axId val="853718800"/>
      </c:lineChart>
      <c:catAx>
        <c:axId val="85371712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17680"/>
        <c:crosses val="autoZero"/>
        <c:auto val="1"/>
        <c:lblAlgn val="ctr"/>
        <c:lblOffset val="100"/>
        <c:noMultiLvlLbl val="0"/>
      </c:catAx>
      <c:valAx>
        <c:axId val="853717680"/>
        <c:scaling>
          <c:orientation val="minMax"/>
          <c:max val="100000"/>
          <c:min val="0"/>
        </c:scaling>
        <c:delete val="0"/>
        <c:axPos val="l"/>
        <c:numFmt formatCode="0" sourceLinked="1"/>
        <c:majorTickMark val="out"/>
        <c:minorTickMark val="out"/>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17120"/>
        <c:crosses val="autoZero"/>
        <c:crossBetween val="between"/>
        <c:majorUnit val="20000"/>
        <c:minorUnit val="20000"/>
      </c:valAx>
      <c:catAx>
        <c:axId val="853718240"/>
        <c:scaling>
          <c:orientation val="minMax"/>
        </c:scaling>
        <c:delete val="1"/>
        <c:axPos val="b"/>
        <c:numFmt formatCode="General" sourceLinked="1"/>
        <c:majorTickMark val="out"/>
        <c:minorTickMark val="none"/>
        <c:tickLblPos val="none"/>
        <c:crossAx val="853718800"/>
        <c:crosses val="autoZero"/>
        <c:auto val="1"/>
        <c:lblAlgn val="ctr"/>
        <c:lblOffset val="100"/>
        <c:noMultiLvlLbl val="0"/>
      </c:catAx>
      <c:valAx>
        <c:axId val="853718800"/>
        <c:scaling>
          <c:orientation val="minMax"/>
          <c:max val="0.6"/>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1824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网络支付</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60298211750769"/>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90444</c:v>
                </c:pt>
                <c:pt idx="1">
                  <c:v>91143.790635504003</c:v>
                </c:pt>
                <c:pt idx="2">
                  <c:v>94319</c:v>
                </c:pt>
                <c:pt idx="3">
                  <c:v>95386</c:v>
                </c:pt>
                <c:pt idx="4" formatCode="0_ ">
                  <c:v>96884.664691809594</c:v>
                </c:pt>
              </c:numCache>
            </c:numRef>
          </c:val>
          <c:extLst>
            <c:ext xmlns:c16="http://schemas.microsoft.com/office/drawing/2014/chart" uri="{C3380CC4-5D6E-409C-BE32-E72D297353CC}">
              <c16:uniqueId val="{00000000-0DCF-4478-BF59-98EEE002A326}"/>
            </c:ext>
          </c:extLst>
        </c:ser>
        <c:dLbls>
          <c:showLegendKey val="0"/>
          <c:showVal val="1"/>
          <c:showCatName val="0"/>
          <c:showSerName val="0"/>
          <c:showPercent val="0"/>
          <c:showBubbleSize val="0"/>
        </c:dLbls>
        <c:gapWidth val="150"/>
        <c:axId val="853721600"/>
        <c:axId val="85372216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0"/>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CF-4478-BF59-98EEE002A326}"/>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0.86</c:v>
                </c:pt>
                <c:pt idx="1">
                  <c:v>0.85385179022692403</c:v>
                </c:pt>
                <c:pt idx="2">
                  <c:v>0.875</c:v>
                </c:pt>
                <c:pt idx="3">
                  <c:v>0.873</c:v>
                </c:pt>
                <c:pt idx="4">
                  <c:v>0.88103398921321496</c:v>
                </c:pt>
              </c:numCache>
            </c:numRef>
          </c:val>
          <c:smooth val="0"/>
          <c:extLst>
            <c:ext xmlns:c16="http://schemas.microsoft.com/office/drawing/2014/chart" uri="{C3380CC4-5D6E-409C-BE32-E72D297353CC}">
              <c16:uniqueId val="{00000002-0DCF-4478-BF59-98EEE002A326}"/>
            </c:ext>
          </c:extLst>
        </c:ser>
        <c:dLbls>
          <c:showLegendKey val="0"/>
          <c:showVal val="1"/>
          <c:showCatName val="0"/>
          <c:showSerName val="0"/>
          <c:showPercent val="0"/>
          <c:showBubbleSize val="0"/>
        </c:dLbls>
        <c:marker val="1"/>
        <c:smooth val="0"/>
        <c:axId val="853722720"/>
        <c:axId val="853723280"/>
      </c:lineChart>
      <c:catAx>
        <c:axId val="85372160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22160"/>
        <c:crosses val="autoZero"/>
        <c:auto val="1"/>
        <c:lblAlgn val="ctr"/>
        <c:lblOffset val="100"/>
        <c:noMultiLvlLbl val="0"/>
      </c:catAx>
      <c:valAx>
        <c:axId val="853722160"/>
        <c:scaling>
          <c:orientation val="minMax"/>
          <c:max val="15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21600"/>
        <c:crosses val="autoZero"/>
        <c:crossBetween val="between"/>
        <c:majorUnit val="50000"/>
      </c:valAx>
      <c:catAx>
        <c:axId val="853722720"/>
        <c:scaling>
          <c:orientation val="minMax"/>
        </c:scaling>
        <c:delete val="1"/>
        <c:axPos val="b"/>
        <c:numFmt formatCode="General" sourceLinked="1"/>
        <c:majorTickMark val="out"/>
        <c:minorTickMark val="none"/>
        <c:tickLblPos val="none"/>
        <c:crossAx val="853723280"/>
        <c:crosses val="autoZero"/>
        <c:auto val="1"/>
        <c:lblAlgn val="ctr"/>
        <c:lblOffset val="100"/>
        <c:noMultiLvlLbl val="0"/>
      </c:catAx>
      <c:valAx>
        <c:axId val="853723280"/>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2272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网络购物</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49922076861015"/>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84057</c:v>
                </c:pt>
                <c:pt idx="1">
                  <c:v>84529</c:v>
                </c:pt>
                <c:pt idx="2">
                  <c:v>88410</c:v>
                </c:pt>
                <c:pt idx="3">
                  <c:v>91496</c:v>
                </c:pt>
                <c:pt idx="4">
                  <c:v>90460</c:v>
                </c:pt>
              </c:numCache>
            </c:numRef>
          </c:val>
          <c:extLst>
            <c:ext xmlns:c16="http://schemas.microsoft.com/office/drawing/2014/chart" uri="{C3380CC4-5D6E-409C-BE32-E72D297353CC}">
              <c16:uniqueId val="{00000000-6921-41F7-A89C-16F5772C2298}"/>
            </c:ext>
          </c:extLst>
        </c:ser>
        <c:dLbls>
          <c:showLegendKey val="0"/>
          <c:showVal val="1"/>
          <c:showCatName val="0"/>
          <c:showSerName val="0"/>
          <c:showPercent val="0"/>
          <c:showBubbleSize val="0"/>
        </c:dLbls>
        <c:gapWidth val="150"/>
        <c:axId val="853726080"/>
        <c:axId val="85372664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21-41F7-A89C-16F5772C2298}"/>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0.8</c:v>
                </c:pt>
                <c:pt idx="1">
                  <c:v>0.79200000000000004</c:v>
                </c:pt>
                <c:pt idx="2">
                  <c:v>0.82</c:v>
                </c:pt>
                <c:pt idx="3">
                  <c:v>0.83799999999999997</c:v>
                </c:pt>
                <c:pt idx="4">
                  <c:v>0.82299999999999995</c:v>
                </c:pt>
              </c:numCache>
            </c:numRef>
          </c:val>
          <c:smooth val="0"/>
          <c:extLst>
            <c:ext xmlns:c16="http://schemas.microsoft.com/office/drawing/2014/chart" uri="{C3380CC4-5D6E-409C-BE32-E72D297353CC}">
              <c16:uniqueId val="{00000002-6921-41F7-A89C-16F5772C2298}"/>
            </c:ext>
          </c:extLst>
        </c:ser>
        <c:dLbls>
          <c:showLegendKey val="0"/>
          <c:showVal val="1"/>
          <c:showCatName val="0"/>
          <c:showSerName val="0"/>
          <c:showPercent val="0"/>
          <c:showBubbleSize val="0"/>
        </c:dLbls>
        <c:marker val="1"/>
        <c:smooth val="0"/>
        <c:axId val="853727200"/>
        <c:axId val="853727760"/>
      </c:lineChart>
      <c:catAx>
        <c:axId val="85372608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26640"/>
        <c:crosses val="autoZero"/>
        <c:auto val="1"/>
        <c:lblAlgn val="ctr"/>
        <c:lblOffset val="100"/>
        <c:noMultiLvlLbl val="0"/>
      </c:catAx>
      <c:valAx>
        <c:axId val="853726640"/>
        <c:scaling>
          <c:orientation val="minMax"/>
          <c:max val="150000"/>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26080"/>
        <c:crosses val="autoZero"/>
        <c:crossBetween val="between"/>
        <c:majorUnit val="50000"/>
      </c:valAx>
      <c:catAx>
        <c:axId val="853727200"/>
        <c:scaling>
          <c:orientation val="minMax"/>
        </c:scaling>
        <c:delete val="1"/>
        <c:axPos val="b"/>
        <c:numFmt formatCode="General" sourceLinked="1"/>
        <c:majorTickMark val="out"/>
        <c:minorTickMark val="none"/>
        <c:tickLblPos val="none"/>
        <c:crossAx val="853727760"/>
        <c:crosses val="autoZero"/>
        <c:auto val="1"/>
        <c:lblAlgn val="ctr"/>
        <c:lblOffset val="100"/>
        <c:noMultiLvlLbl val="0"/>
      </c:catAx>
      <c:valAx>
        <c:axId val="853727760"/>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2720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65369649805447505"/>
          <c:h val="7.0045714484364904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网上外卖</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4732804313857701"/>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50920.723689442202</c:v>
                </c:pt>
                <c:pt idx="1">
                  <c:v>52116.164711673198</c:v>
                </c:pt>
                <c:pt idx="2">
                  <c:v>53487.715648852398</c:v>
                </c:pt>
                <c:pt idx="3">
                  <c:v>54453.828979665697</c:v>
                </c:pt>
                <c:pt idx="4" formatCode="###0">
                  <c:v>55304.304323792501</c:v>
                </c:pt>
              </c:numCache>
            </c:numRef>
          </c:val>
          <c:extLst>
            <c:ext xmlns:c16="http://schemas.microsoft.com/office/drawing/2014/chart" uri="{C3380CC4-5D6E-409C-BE32-E72D297353CC}">
              <c16:uniqueId val="{00000000-D3DD-4574-9209-1233F848FACB}"/>
            </c:ext>
          </c:extLst>
        </c:ser>
        <c:dLbls>
          <c:showLegendKey val="0"/>
          <c:showVal val="1"/>
          <c:showCatName val="0"/>
          <c:showSerName val="0"/>
          <c:showPercent val="0"/>
          <c:showBubbleSize val="0"/>
        </c:dLbls>
        <c:gapWidth val="150"/>
        <c:axId val="853730560"/>
        <c:axId val="85373112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DD-4574-9209-1233F848FACB}"/>
                </c:ext>
              </c:extLst>
            </c:dLbl>
            <c:numFmt formatCode="0.0%" sourceLinked="0"/>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0.484431664722832</c:v>
                </c:pt>
                <c:pt idx="1">
                  <c:v>0.48823381415836298</c:v>
                </c:pt>
                <c:pt idx="2">
                  <c:v>0.495932043339673</c:v>
                </c:pt>
                <c:pt idx="3">
                  <c:v>0.49854842834004698</c:v>
                </c:pt>
                <c:pt idx="4">
                  <c:v>0.50291809662209397</c:v>
                </c:pt>
              </c:numCache>
            </c:numRef>
          </c:val>
          <c:smooth val="0"/>
          <c:extLst>
            <c:ext xmlns:c16="http://schemas.microsoft.com/office/drawing/2014/chart" uri="{C3380CC4-5D6E-409C-BE32-E72D297353CC}">
              <c16:uniqueId val="{00000002-D3DD-4574-9209-1233F848FACB}"/>
            </c:ext>
          </c:extLst>
        </c:ser>
        <c:dLbls>
          <c:showLegendKey val="0"/>
          <c:showVal val="1"/>
          <c:showCatName val="0"/>
          <c:showSerName val="0"/>
          <c:showPercent val="0"/>
          <c:showBubbleSize val="0"/>
        </c:dLbls>
        <c:marker val="1"/>
        <c:smooth val="0"/>
        <c:axId val="853731680"/>
        <c:axId val="853732240"/>
      </c:lineChart>
      <c:catAx>
        <c:axId val="85373056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31120"/>
        <c:crosses val="autoZero"/>
        <c:auto val="1"/>
        <c:lblAlgn val="ctr"/>
        <c:lblOffset val="100"/>
        <c:noMultiLvlLbl val="0"/>
      </c:catAx>
      <c:valAx>
        <c:axId val="853731120"/>
        <c:scaling>
          <c:orientation val="minMax"/>
          <c:max val="8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30560"/>
        <c:crosses val="autoZero"/>
        <c:crossBetween val="between"/>
        <c:majorUnit val="20000"/>
      </c:valAx>
      <c:catAx>
        <c:axId val="853731680"/>
        <c:scaling>
          <c:orientation val="minMax"/>
        </c:scaling>
        <c:delete val="1"/>
        <c:axPos val="b"/>
        <c:numFmt formatCode="General" sourceLinked="1"/>
        <c:majorTickMark val="out"/>
        <c:minorTickMark val="none"/>
        <c:tickLblPos val="none"/>
        <c:crossAx val="853732240"/>
        <c:crosses val="autoZero"/>
        <c:auto val="1"/>
        <c:lblAlgn val="ctr"/>
        <c:lblOffset val="100"/>
        <c:noMultiLvlLbl val="0"/>
      </c:catAx>
      <c:valAx>
        <c:axId val="853732240"/>
        <c:scaling>
          <c:orientation val="minMax"/>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3168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65369649805447505"/>
          <c:h val="7.0045714484364904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在线旅行预订</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1101157102443899"/>
          <c:y val="1.3245033112582801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33250.404470038899</c:v>
                </c:pt>
                <c:pt idx="1">
                  <c:v>42271.9697380957</c:v>
                </c:pt>
                <c:pt idx="2">
                  <c:v>45362.667882007197</c:v>
                </c:pt>
                <c:pt idx="3">
                  <c:v>50901.335679436997</c:v>
                </c:pt>
                <c:pt idx="4">
                  <c:v>49721</c:v>
                </c:pt>
              </c:numCache>
            </c:numRef>
          </c:val>
          <c:extLst>
            <c:ext xmlns:c16="http://schemas.microsoft.com/office/drawing/2014/chart" uri="{C3380CC4-5D6E-409C-BE32-E72D297353CC}">
              <c16:uniqueId val="{00000000-C946-42BC-8A67-E91B6D4B8F60}"/>
            </c:ext>
          </c:extLst>
        </c:ser>
        <c:dLbls>
          <c:showLegendKey val="0"/>
          <c:showVal val="1"/>
          <c:showCatName val="0"/>
          <c:showSerName val="0"/>
          <c:showPercent val="0"/>
          <c:showBubbleSize val="0"/>
        </c:dLbls>
        <c:gapWidth val="150"/>
        <c:axId val="780799632"/>
        <c:axId val="78080019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46-42BC-8A67-E91B6D4B8F60}"/>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0.31632599898552</c:v>
                </c:pt>
                <c:pt idx="1">
                  <c:v>0.39601158549172</c:v>
                </c:pt>
                <c:pt idx="2">
                  <c:v>0.42059752040551801</c:v>
                </c:pt>
                <c:pt idx="3">
                  <c:v>0.46602381097697898</c:v>
                </c:pt>
                <c:pt idx="4">
                  <c:v>0.45214473432939001</c:v>
                </c:pt>
              </c:numCache>
            </c:numRef>
          </c:val>
          <c:smooth val="0"/>
          <c:extLst>
            <c:ext xmlns:c16="http://schemas.microsoft.com/office/drawing/2014/chart" uri="{C3380CC4-5D6E-409C-BE32-E72D297353CC}">
              <c16:uniqueId val="{00000002-C946-42BC-8A67-E91B6D4B8F60}"/>
            </c:ext>
          </c:extLst>
        </c:ser>
        <c:dLbls>
          <c:showLegendKey val="0"/>
          <c:showVal val="1"/>
          <c:showCatName val="0"/>
          <c:showSerName val="0"/>
          <c:showPercent val="0"/>
          <c:showBubbleSize val="0"/>
        </c:dLbls>
        <c:marker val="1"/>
        <c:smooth val="0"/>
        <c:axId val="780800752"/>
        <c:axId val="780801312"/>
      </c:lineChart>
      <c:catAx>
        <c:axId val="78079963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00192"/>
        <c:crosses val="autoZero"/>
        <c:auto val="1"/>
        <c:lblAlgn val="ctr"/>
        <c:lblOffset val="100"/>
        <c:noMultiLvlLbl val="0"/>
      </c:catAx>
      <c:valAx>
        <c:axId val="780800192"/>
        <c:scaling>
          <c:orientation val="minMax"/>
          <c:max val="8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799632"/>
        <c:crosses val="autoZero"/>
        <c:crossBetween val="between"/>
        <c:majorUnit val="20000"/>
      </c:valAx>
      <c:catAx>
        <c:axId val="780800752"/>
        <c:scaling>
          <c:orientation val="minMax"/>
        </c:scaling>
        <c:delete val="1"/>
        <c:axPos val="b"/>
        <c:numFmt formatCode="General" sourceLinked="1"/>
        <c:majorTickMark val="out"/>
        <c:minorTickMark val="none"/>
        <c:tickLblPos val="none"/>
        <c:crossAx val="780801312"/>
        <c:crosses val="autoZero"/>
        <c:auto val="1"/>
        <c:lblAlgn val="ctr"/>
        <c:lblOffset val="100"/>
        <c:noMultiLvlLbl val="0"/>
      </c:catAx>
      <c:valAx>
        <c:axId val="780801312"/>
        <c:scaling>
          <c:orientation val="minMax"/>
          <c:max val="0.5"/>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00752"/>
        <c:crosses val="max"/>
        <c:crossBetween val="between"/>
        <c:majorUnit val="0.1"/>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Tahoma" panose="020B0604030504040204" pitchFamily="2" charset="0"/>
                <a:cs typeface="Times New Roman" panose="02020603050405020304" charset="0"/>
              </a:rPr>
              <a:t>IPv4</a:t>
            </a:r>
            <a:r>
              <a:rPr lang="zh-CN" altLang="zh-CN" sz="1000" b="1" i="0" baseline="0">
                <a:effectLst/>
                <a:latin typeface="Times New Roman" panose="02020603050405020304" charset="0"/>
                <a:ea typeface="+mj-ea"/>
                <a:cs typeface="Times New Roman" panose="02020603050405020304" charset="0"/>
              </a:rPr>
              <a:t>地址数量</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6218575333523695"/>
          <c:h val="0.57212007439467405"/>
        </c:manualLayout>
      </c:layout>
      <c:barChart>
        <c:barDir val="col"/>
        <c:grouping val="clustered"/>
        <c:varyColors val="0"/>
        <c:ser>
          <c:idx val="0"/>
          <c:order val="0"/>
          <c:tx>
            <c:strRef>
              <c:f>Sheet1!$B$1</c:f>
              <c:strCache>
                <c:ptCount val="1"/>
                <c:pt idx="0">
                  <c:v>IPv4地址数量（万个）</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39192</c:v>
                </c:pt>
                <c:pt idx="1">
                  <c:v>39182</c:v>
                </c:pt>
                <c:pt idx="2">
                  <c:v>39207</c:v>
                </c:pt>
                <c:pt idx="3">
                  <c:v>39219</c:v>
                </c:pt>
                <c:pt idx="4">
                  <c:v>39235</c:v>
                </c:pt>
              </c:numCache>
            </c:numRef>
          </c:val>
          <c:extLst>
            <c:ext xmlns:c16="http://schemas.microsoft.com/office/drawing/2014/chart" uri="{C3380CC4-5D6E-409C-BE32-E72D297353CC}">
              <c16:uniqueId val="{00000000-3CF7-4C8C-AA95-AA2EDAF60EEF}"/>
            </c:ext>
          </c:extLst>
        </c:ser>
        <c:dLbls>
          <c:showLegendKey val="0"/>
          <c:showVal val="1"/>
          <c:showCatName val="0"/>
          <c:showSerName val="0"/>
          <c:showPercent val="0"/>
          <c:showBubbleSize val="0"/>
        </c:dLbls>
        <c:gapWidth val="150"/>
        <c:axId val="797735040"/>
        <c:axId val="797732240"/>
      </c:barChart>
      <c:catAx>
        <c:axId val="79773504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97732240"/>
        <c:crosses val="autoZero"/>
        <c:auto val="1"/>
        <c:lblAlgn val="ctr"/>
        <c:lblOffset val="100"/>
        <c:noMultiLvlLbl val="0"/>
      </c:catAx>
      <c:valAx>
        <c:axId val="797732240"/>
        <c:scaling>
          <c:orientation val="minMax"/>
          <c:max val="5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97735040"/>
        <c:crosses val="autoZero"/>
        <c:crossBetween val="between"/>
        <c:majorUnit val="100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网络视频</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4473400941613799"/>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formatCode="0_ ">
                  <c:v>99488</c:v>
                </c:pt>
                <c:pt idx="1">
                  <c:v>103057</c:v>
                </c:pt>
                <c:pt idx="2" formatCode="0_ ">
                  <c:v>104437</c:v>
                </c:pt>
                <c:pt idx="3" formatCode="0_);[Red]\(0\)">
                  <c:v>106670.548874695</c:v>
                </c:pt>
                <c:pt idx="4">
                  <c:v>106796</c:v>
                </c:pt>
              </c:numCache>
            </c:numRef>
          </c:val>
          <c:extLst>
            <c:ext xmlns:c16="http://schemas.microsoft.com/office/drawing/2014/chart" uri="{C3380CC4-5D6E-409C-BE32-E72D297353CC}">
              <c16:uniqueId val="{00000000-FE72-4D5A-9394-EF9C3515ECC4}"/>
            </c:ext>
          </c:extLst>
        </c:ser>
        <c:dLbls>
          <c:showLegendKey val="0"/>
          <c:showVal val="1"/>
          <c:showCatName val="0"/>
          <c:showSerName val="0"/>
          <c:showPercent val="0"/>
          <c:showBubbleSize val="0"/>
        </c:dLbls>
        <c:gapWidth val="150"/>
        <c:axId val="780804112"/>
        <c:axId val="78080467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0"/>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72-4D5A-9394-EF9C3515ECC4}"/>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0.94599999999999995</c:v>
                </c:pt>
                <c:pt idx="1">
                  <c:v>0.96499999999999997</c:v>
                </c:pt>
                <c:pt idx="2">
                  <c:v>0.96799999999999997</c:v>
                </c:pt>
                <c:pt idx="3">
                  <c:v>0.97661515247179598</c:v>
                </c:pt>
                <c:pt idx="4">
                  <c:v>0.97116407649567604</c:v>
                </c:pt>
              </c:numCache>
            </c:numRef>
          </c:val>
          <c:smooth val="0"/>
          <c:extLst>
            <c:ext xmlns:c16="http://schemas.microsoft.com/office/drawing/2014/chart" uri="{C3380CC4-5D6E-409C-BE32-E72D297353CC}">
              <c16:uniqueId val="{00000002-FE72-4D5A-9394-EF9C3515ECC4}"/>
            </c:ext>
          </c:extLst>
        </c:ser>
        <c:dLbls>
          <c:showLegendKey val="0"/>
          <c:showVal val="1"/>
          <c:showCatName val="0"/>
          <c:showSerName val="0"/>
          <c:showPercent val="0"/>
          <c:showBubbleSize val="0"/>
        </c:dLbls>
        <c:marker val="1"/>
        <c:smooth val="0"/>
        <c:axId val="780805232"/>
        <c:axId val="780805792"/>
      </c:lineChart>
      <c:catAx>
        <c:axId val="78080411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04672"/>
        <c:crosses val="autoZero"/>
        <c:auto val="1"/>
        <c:lblAlgn val="ctr"/>
        <c:lblOffset val="100"/>
        <c:noMultiLvlLbl val="0"/>
      </c:catAx>
      <c:valAx>
        <c:axId val="780804672"/>
        <c:scaling>
          <c:orientation val="minMax"/>
          <c:min val="0"/>
        </c:scaling>
        <c:delete val="0"/>
        <c:axPos val="l"/>
        <c:numFmt formatCode="0_ "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04112"/>
        <c:crosses val="autoZero"/>
        <c:crossBetween val="between"/>
        <c:majorUnit val="50000"/>
      </c:valAx>
      <c:catAx>
        <c:axId val="780805232"/>
        <c:scaling>
          <c:orientation val="minMax"/>
        </c:scaling>
        <c:delete val="1"/>
        <c:axPos val="b"/>
        <c:numFmt formatCode="General" sourceLinked="1"/>
        <c:majorTickMark val="out"/>
        <c:minorTickMark val="none"/>
        <c:tickLblPos val="none"/>
        <c:crossAx val="780805792"/>
        <c:crosses val="autoZero"/>
        <c:auto val="1"/>
        <c:lblAlgn val="ctr"/>
        <c:lblOffset val="100"/>
        <c:noMultiLvlLbl val="0"/>
      </c:catAx>
      <c:valAx>
        <c:axId val="780805792"/>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05232"/>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网络直播用户规模及使用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49922076861014"/>
          <c:y val="2.3841059602649001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71626.718502497606</c:v>
                </c:pt>
                <c:pt idx="1">
                  <c:v>75064.832433602307</c:v>
                </c:pt>
                <c:pt idx="2">
                  <c:v>76538.870487540902</c:v>
                </c:pt>
                <c:pt idx="3">
                  <c:v>81566</c:v>
                </c:pt>
                <c:pt idx="4">
                  <c:v>77654</c:v>
                </c:pt>
              </c:numCache>
            </c:numRef>
          </c:val>
          <c:extLst>
            <c:ext xmlns:c16="http://schemas.microsoft.com/office/drawing/2014/chart" uri="{C3380CC4-5D6E-409C-BE32-E72D297353CC}">
              <c16:uniqueId val="{00000000-150F-417D-BE86-F87F282FE385}"/>
            </c:ext>
          </c:extLst>
        </c:ser>
        <c:dLbls>
          <c:showLegendKey val="0"/>
          <c:showVal val="1"/>
          <c:showCatName val="0"/>
          <c:showSerName val="0"/>
          <c:showPercent val="0"/>
          <c:showBubbleSize val="0"/>
        </c:dLbls>
        <c:gapWidth val="150"/>
        <c:axId val="780808592"/>
        <c:axId val="78080915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0F-417D-BE86-F87F282FE385}"/>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0.68141707282908903</c:v>
                </c:pt>
                <c:pt idx="1">
                  <c:v>0.70322115318680001</c:v>
                </c:pt>
                <c:pt idx="2">
                  <c:v>0.709659741032727</c:v>
                </c:pt>
                <c:pt idx="3">
                  <c:v>0.74677044893191302</c:v>
                </c:pt>
                <c:pt idx="4">
                  <c:v>0.70615521004742099</c:v>
                </c:pt>
              </c:numCache>
            </c:numRef>
          </c:val>
          <c:smooth val="0"/>
          <c:extLst>
            <c:ext xmlns:c16="http://schemas.microsoft.com/office/drawing/2014/chart" uri="{C3380CC4-5D6E-409C-BE32-E72D297353CC}">
              <c16:uniqueId val="{00000002-150F-417D-BE86-F87F282FE385}"/>
            </c:ext>
          </c:extLst>
        </c:ser>
        <c:dLbls>
          <c:showLegendKey val="0"/>
          <c:showVal val="1"/>
          <c:showCatName val="0"/>
          <c:showSerName val="0"/>
          <c:showPercent val="0"/>
          <c:showBubbleSize val="0"/>
        </c:dLbls>
        <c:marker val="1"/>
        <c:smooth val="0"/>
        <c:axId val="780809712"/>
        <c:axId val="780810272"/>
      </c:lineChart>
      <c:catAx>
        <c:axId val="78080859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09152"/>
        <c:crosses val="autoZero"/>
        <c:auto val="1"/>
        <c:lblAlgn val="ctr"/>
        <c:lblOffset val="100"/>
        <c:noMultiLvlLbl val="0"/>
      </c:catAx>
      <c:valAx>
        <c:axId val="780809152"/>
        <c:scaling>
          <c:orientation val="minMax"/>
          <c:max val="15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08592"/>
        <c:crosses val="autoZero"/>
        <c:crossBetween val="between"/>
        <c:majorUnit val="50000"/>
      </c:valAx>
      <c:catAx>
        <c:axId val="780809712"/>
        <c:scaling>
          <c:orientation val="minMax"/>
        </c:scaling>
        <c:delete val="1"/>
        <c:axPos val="b"/>
        <c:numFmt formatCode="General" sourceLinked="1"/>
        <c:majorTickMark val="out"/>
        <c:minorTickMark val="none"/>
        <c:tickLblPos val="none"/>
        <c:crossAx val="780810272"/>
        <c:crosses val="autoZero"/>
        <c:auto val="1"/>
        <c:lblAlgn val="ctr"/>
        <c:lblOffset val="100"/>
        <c:noMultiLvlLbl val="0"/>
      </c:catAx>
      <c:valAx>
        <c:axId val="780810272"/>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09712"/>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网络音乐</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18793672191754"/>
          <c:y val="1.76600441501104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72789</c:v>
                </c:pt>
                <c:pt idx="1">
                  <c:v>68420</c:v>
                </c:pt>
                <c:pt idx="2" formatCode="0_ ">
                  <c:v>72583</c:v>
                </c:pt>
                <c:pt idx="3">
                  <c:v>71464</c:v>
                </c:pt>
                <c:pt idx="4">
                  <c:v>72914</c:v>
                </c:pt>
              </c:numCache>
            </c:numRef>
          </c:val>
          <c:extLst>
            <c:ext xmlns:c16="http://schemas.microsoft.com/office/drawing/2014/chart" uri="{C3380CC4-5D6E-409C-BE32-E72D297353CC}">
              <c16:uniqueId val="{00000000-4B3C-489D-BA7D-F9C73E815EC6}"/>
            </c:ext>
          </c:extLst>
        </c:ser>
        <c:dLbls>
          <c:showLegendKey val="0"/>
          <c:showVal val="1"/>
          <c:showCatName val="0"/>
          <c:showSerName val="0"/>
          <c:showPercent val="0"/>
          <c:showBubbleSize val="0"/>
        </c:dLbls>
        <c:gapWidth val="150"/>
        <c:axId val="780813072"/>
        <c:axId val="78081363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3C-489D-BA7D-F9C73E815EC6}"/>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0.69199999999999995</c:v>
                </c:pt>
                <c:pt idx="1">
                  <c:v>0.64100000000000001</c:v>
                </c:pt>
                <c:pt idx="2">
                  <c:v>0.67300000000000004</c:v>
                </c:pt>
                <c:pt idx="3">
                  <c:v>0.65400000000000003</c:v>
                </c:pt>
                <c:pt idx="4">
                  <c:v>0.66300000000000003</c:v>
                </c:pt>
              </c:numCache>
            </c:numRef>
          </c:val>
          <c:smooth val="0"/>
          <c:extLst>
            <c:ext xmlns:c16="http://schemas.microsoft.com/office/drawing/2014/chart" uri="{C3380CC4-5D6E-409C-BE32-E72D297353CC}">
              <c16:uniqueId val="{00000002-4B3C-489D-BA7D-F9C73E815EC6}"/>
            </c:ext>
          </c:extLst>
        </c:ser>
        <c:dLbls>
          <c:showLegendKey val="0"/>
          <c:showVal val="1"/>
          <c:showCatName val="0"/>
          <c:showSerName val="0"/>
          <c:showPercent val="0"/>
          <c:showBubbleSize val="0"/>
        </c:dLbls>
        <c:marker val="1"/>
        <c:smooth val="0"/>
        <c:axId val="780814192"/>
        <c:axId val="780814752"/>
      </c:lineChart>
      <c:catAx>
        <c:axId val="78081307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13632"/>
        <c:crosses val="autoZero"/>
        <c:auto val="1"/>
        <c:lblAlgn val="ctr"/>
        <c:lblOffset val="100"/>
        <c:noMultiLvlLbl val="0"/>
      </c:catAx>
      <c:valAx>
        <c:axId val="780813632"/>
        <c:scaling>
          <c:orientation val="minMax"/>
          <c:max val="150000"/>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13072"/>
        <c:crosses val="autoZero"/>
        <c:crossBetween val="between"/>
        <c:majorUnit val="50000"/>
      </c:valAx>
      <c:catAx>
        <c:axId val="780814192"/>
        <c:scaling>
          <c:orientation val="minMax"/>
        </c:scaling>
        <c:delete val="1"/>
        <c:axPos val="b"/>
        <c:numFmt formatCode="General" sourceLinked="1"/>
        <c:majorTickMark val="out"/>
        <c:minorTickMark val="none"/>
        <c:tickLblPos val="none"/>
        <c:crossAx val="780814752"/>
        <c:crosses val="autoZero"/>
        <c:auto val="1"/>
        <c:lblAlgn val="ctr"/>
        <c:lblOffset val="100"/>
        <c:noMultiLvlLbl val="0"/>
      </c:catAx>
      <c:valAx>
        <c:axId val="780814752"/>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14192"/>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a:t>
            </a:r>
            <a:r>
              <a:rPr lang="zh-CN" altLang="en-US" sz="1000" b="1" i="0" baseline="0">
                <a:effectLst/>
                <a:latin typeface="Times New Roman" panose="02020603050405020304" charset="0"/>
                <a:ea typeface="宋体" panose="02010600030101010101" charset="-122"/>
                <a:cs typeface="Times New Roman" panose="02020603050405020304" charset="0"/>
              </a:rPr>
              <a:t>网络文学</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7629399351017703"/>
          <c:y val="1.76600441501104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49322.457693161203</c:v>
                </c:pt>
                <c:pt idx="1">
                  <c:v>49233.437534590899</c:v>
                </c:pt>
                <c:pt idx="2">
                  <c:v>52825.003606863</c:v>
                </c:pt>
                <c:pt idx="3">
                  <c:v>52017</c:v>
                </c:pt>
                <c:pt idx="4" formatCode="###0">
                  <c:v>51602.4760006992</c:v>
                </c:pt>
              </c:numCache>
            </c:numRef>
          </c:val>
          <c:extLst>
            <c:ext xmlns:c16="http://schemas.microsoft.com/office/drawing/2014/chart" uri="{C3380CC4-5D6E-409C-BE32-E72D297353CC}">
              <c16:uniqueId val="{00000000-4EB8-4E62-AF72-353F159D1DF4}"/>
            </c:ext>
          </c:extLst>
        </c:ser>
        <c:dLbls>
          <c:showLegendKey val="0"/>
          <c:showVal val="1"/>
          <c:showCatName val="0"/>
          <c:showSerName val="0"/>
          <c:showPercent val="0"/>
          <c:showBubbleSize val="0"/>
        </c:dLbls>
        <c:gapWidth val="141"/>
        <c:axId val="780817552"/>
        <c:axId val="78081811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numFmt formatCode="0.0%" sourceLinked="0"/>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0.46922664403282099</c:v>
                </c:pt>
                <c:pt idx="1">
                  <c:v>0.46122789588653001</c:v>
                </c:pt>
                <c:pt idx="2">
                  <c:v>0.48978745232204002</c:v>
                </c:pt>
                <c:pt idx="3">
                  <c:v>0.47623616444988398</c:v>
                </c:pt>
                <c:pt idx="4">
                  <c:v>0.46925495815511398</c:v>
                </c:pt>
              </c:numCache>
            </c:numRef>
          </c:val>
          <c:smooth val="0"/>
          <c:extLst>
            <c:ext xmlns:c16="http://schemas.microsoft.com/office/drawing/2014/chart" uri="{C3380CC4-5D6E-409C-BE32-E72D297353CC}">
              <c16:uniqueId val="{00000001-4EB8-4E62-AF72-353F159D1DF4}"/>
            </c:ext>
          </c:extLst>
        </c:ser>
        <c:dLbls>
          <c:showLegendKey val="0"/>
          <c:showVal val="1"/>
          <c:showCatName val="0"/>
          <c:showSerName val="0"/>
          <c:showPercent val="0"/>
          <c:showBubbleSize val="0"/>
        </c:dLbls>
        <c:marker val="1"/>
        <c:smooth val="0"/>
        <c:axId val="780818672"/>
        <c:axId val="780819232"/>
      </c:lineChart>
      <c:catAx>
        <c:axId val="78081755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18112"/>
        <c:crosses val="autoZero"/>
        <c:auto val="1"/>
        <c:lblAlgn val="ctr"/>
        <c:lblOffset val="100"/>
        <c:noMultiLvlLbl val="0"/>
      </c:catAx>
      <c:valAx>
        <c:axId val="780818112"/>
        <c:scaling>
          <c:orientation val="minMax"/>
          <c:max val="8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17552"/>
        <c:crosses val="autoZero"/>
        <c:crossBetween val="between"/>
        <c:majorUnit val="20000"/>
      </c:valAx>
      <c:catAx>
        <c:axId val="780818672"/>
        <c:scaling>
          <c:orientation val="minMax"/>
        </c:scaling>
        <c:delete val="1"/>
        <c:axPos val="b"/>
        <c:numFmt formatCode="General" sourceLinked="1"/>
        <c:majorTickMark val="out"/>
        <c:minorTickMark val="none"/>
        <c:tickLblPos val="none"/>
        <c:crossAx val="780819232"/>
        <c:crosses val="autoZero"/>
        <c:auto val="1"/>
        <c:lblAlgn val="ctr"/>
        <c:lblOffset val="100"/>
        <c:noMultiLvlLbl val="0"/>
      </c:catAx>
      <c:valAx>
        <c:axId val="780819232"/>
        <c:scaling>
          <c:orientation val="minMax"/>
          <c:max val="0.6"/>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18672"/>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61848079518959398"/>
          <c:h val="7.0045714484364904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网约车</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5875233206424297"/>
          <c:y val="1.76600441501104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40507</c:v>
                </c:pt>
                <c:pt idx="1">
                  <c:v>43708</c:v>
                </c:pt>
                <c:pt idx="2" formatCode="0_ ">
                  <c:v>47199</c:v>
                </c:pt>
                <c:pt idx="3">
                  <c:v>52765</c:v>
                </c:pt>
                <c:pt idx="4">
                  <c:v>50270</c:v>
                </c:pt>
              </c:numCache>
            </c:numRef>
          </c:val>
          <c:extLst>
            <c:ext xmlns:c16="http://schemas.microsoft.com/office/drawing/2014/chart" uri="{C3380CC4-5D6E-409C-BE32-E72D297353CC}">
              <c16:uniqueId val="{00000000-73BC-43C2-9978-8547CA6D8F19}"/>
            </c:ext>
          </c:extLst>
        </c:ser>
        <c:dLbls>
          <c:showLegendKey val="0"/>
          <c:showVal val="1"/>
          <c:showCatName val="0"/>
          <c:showSerName val="0"/>
          <c:showPercent val="0"/>
          <c:showBubbleSize val="0"/>
        </c:dLbls>
        <c:gapWidth val="141"/>
        <c:axId val="780822032"/>
        <c:axId val="78082259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numFmt formatCode="0.0%" sourceLinked="0"/>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0.00%</c:formatCode>
                <c:ptCount val="5"/>
                <c:pt idx="0">
                  <c:v>0.38500000000000001</c:v>
                </c:pt>
                <c:pt idx="1">
                  <c:v>0.40899999999999997</c:v>
                </c:pt>
                <c:pt idx="2">
                  <c:v>0.438</c:v>
                </c:pt>
                <c:pt idx="3">
                  <c:v>0.48299999999999998</c:v>
                </c:pt>
                <c:pt idx="4" formatCode="0.0%">
                  <c:v>0.45700000000000002</c:v>
                </c:pt>
              </c:numCache>
            </c:numRef>
          </c:val>
          <c:smooth val="0"/>
          <c:extLst>
            <c:ext xmlns:c16="http://schemas.microsoft.com/office/drawing/2014/chart" uri="{C3380CC4-5D6E-409C-BE32-E72D297353CC}">
              <c16:uniqueId val="{00000001-73BC-43C2-9978-8547CA6D8F19}"/>
            </c:ext>
          </c:extLst>
        </c:ser>
        <c:dLbls>
          <c:showLegendKey val="0"/>
          <c:showVal val="1"/>
          <c:showCatName val="0"/>
          <c:showSerName val="0"/>
          <c:showPercent val="0"/>
          <c:showBubbleSize val="0"/>
        </c:dLbls>
        <c:marker val="1"/>
        <c:smooth val="0"/>
        <c:axId val="780823152"/>
        <c:axId val="780823712"/>
      </c:lineChart>
      <c:catAx>
        <c:axId val="78082203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22592"/>
        <c:crosses val="autoZero"/>
        <c:auto val="1"/>
        <c:lblAlgn val="ctr"/>
        <c:lblOffset val="100"/>
        <c:noMultiLvlLbl val="0"/>
      </c:catAx>
      <c:valAx>
        <c:axId val="780822592"/>
        <c:scaling>
          <c:orientation val="minMax"/>
          <c:max val="80000"/>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22032"/>
        <c:crosses val="autoZero"/>
        <c:crossBetween val="between"/>
        <c:majorUnit val="20000"/>
      </c:valAx>
      <c:catAx>
        <c:axId val="780823152"/>
        <c:scaling>
          <c:orientation val="minMax"/>
        </c:scaling>
        <c:delete val="1"/>
        <c:axPos val="b"/>
        <c:numFmt formatCode="General" sourceLinked="1"/>
        <c:majorTickMark val="out"/>
        <c:minorTickMark val="none"/>
        <c:tickLblPos val="none"/>
        <c:crossAx val="780823712"/>
        <c:crosses val="autoZero"/>
        <c:auto val="1"/>
        <c:lblAlgn val="ctr"/>
        <c:lblOffset val="100"/>
        <c:noMultiLvlLbl val="0"/>
      </c:catAx>
      <c:valAx>
        <c:axId val="780823712"/>
        <c:scaling>
          <c:orientation val="minMax"/>
          <c:max val="0.6"/>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23152"/>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rPr>
              <a:t>2022.6-2024.6</a:t>
            </a:r>
            <a:r>
              <a:rPr lang="zh-CN" altLang="en-US" sz="1000" b="1" i="0" baseline="0">
                <a:effectLst/>
              </a:rPr>
              <a:t>互联网医疗</a:t>
            </a:r>
            <a:r>
              <a:rPr lang="zh-CN" altLang="zh-CN" sz="1000" b="1" i="0" baseline="0">
                <a:effectLst/>
              </a:rPr>
              <a:t>用户规模及使用</a:t>
            </a:r>
            <a:r>
              <a:rPr lang="zh-CN" altLang="en-US" sz="1000" b="1" i="0" baseline="0">
                <a:effectLst/>
              </a:rPr>
              <a:t>率</a:t>
            </a:r>
            <a:endParaRPr lang="zh-CN" altLang="en-US" sz="1000" b="1">
              <a:solidFill>
                <a:sysClr val="windowText" lastClr="000000"/>
              </a:solidFill>
              <a:latin typeface="微软雅黑" panose="020B0503020204020204" pitchFamily="34" charset="-122"/>
              <a:ea typeface="微软雅黑" panose="020B0503020204020204" pitchFamily="34" charset="-122"/>
            </a:endParaRPr>
          </a:p>
        </c:rich>
      </c:tx>
      <c:layout>
        <c:manualLayout>
          <c:xMode val="edge"/>
          <c:yMode val="edge"/>
          <c:x val="0.24473400941613799"/>
          <c:y val="0"/>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29983.553272941699</c:v>
                </c:pt>
                <c:pt idx="1">
                  <c:v>36253.9375528952</c:v>
                </c:pt>
                <c:pt idx="2">
                  <c:v>36416.3440332428</c:v>
                </c:pt>
                <c:pt idx="3">
                  <c:v>41393</c:v>
                </c:pt>
                <c:pt idx="4" formatCode="###0">
                  <c:v>36531.782324378401</c:v>
                </c:pt>
              </c:numCache>
            </c:numRef>
          </c:val>
          <c:extLst>
            <c:ext xmlns:c16="http://schemas.microsoft.com/office/drawing/2014/chart" uri="{C3380CC4-5D6E-409C-BE32-E72D297353CC}">
              <c16:uniqueId val="{00000000-954A-4421-8E53-0420C476455F}"/>
            </c:ext>
          </c:extLst>
        </c:ser>
        <c:dLbls>
          <c:showLegendKey val="0"/>
          <c:showVal val="1"/>
          <c:showCatName val="0"/>
          <c:showSerName val="0"/>
          <c:showPercent val="0"/>
          <c:showBubbleSize val="0"/>
        </c:dLbls>
        <c:gapWidth val="150"/>
        <c:axId val="780826512"/>
        <c:axId val="78082707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1"/>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4A-4421-8E53-0420C476455F}"/>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0.28524697949900601</c:v>
                </c:pt>
                <c:pt idx="1">
                  <c:v>0.33963355338280499</c:v>
                </c:pt>
                <c:pt idx="2">
                  <c:v>0.33764821862894601</c:v>
                </c:pt>
                <c:pt idx="3">
                  <c:v>0.378968946937082</c:v>
                </c:pt>
                <c:pt idx="4">
                  <c:v>0.332207314736712</c:v>
                </c:pt>
              </c:numCache>
            </c:numRef>
          </c:val>
          <c:smooth val="0"/>
          <c:extLst>
            <c:ext xmlns:c16="http://schemas.microsoft.com/office/drawing/2014/chart" uri="{C3380CC4-5D6E-409C-BE32-E72D297353CC}">
              <c16:uniqueId val="{00000002-954A-4421-8E53-0420C476455F}"/>
            </c:ext>
          </c:extLst>
        </c:ser>
        <c:dLbls>
          <c:showLegendKey val="0"/>
          <c:showVal val="1"/>
          <c:showCatName val="0"/>
          <c:showSerName val="0"/>
          <c:showPercent val="0"/>
          <c:showBubbleSize val="0"/>
        </c:dLbls>
        <c:marker val="1"/>
        <c:smooth val="0"/>
        <c:axId val="780827632"/>
        <c:axId val="780828192"/>
      </c:lineChart>
      <c:catAx>
        <c:axId val="78082651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27072"/>
        <c:crosses val="autoZero"/>
        <c:auto val="1"/>
        <c:lblAlgn val="ctr"/>
        <c:lblOffset val="100"/>
        <c:noMultiLvlLbl val="0"/>
      </c:catAx>
      <c:valAx>
        <c:axId val="780827072"/>
        <c:scaling>
          <c:orientation val="minMax"/>
          <c:max val="8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26512"/>
        <c:crosses val="autoZero"/>
        <c:crossBetween val="between"/>
        <c:majorUnit val="20000"/>
      </c:valAx>
      <c:catAx>
        <c:axId val="780827632"/>
        <c:scaling>
          <c:orientation val="minMax"/>
        </c:scaling>
        <c:delete val="1"/>
        <c:axPos val="b"/>
        <c:numFmt formatCode="General" sourceLinked="1"/>
        <c:majorTickMark val="out"/>
        <c:minorTickMark val="none"/>
        <c:tickLblPos val="none"/>
        <c:crossAx val="780828192"/>
        <c:crosses val="autoZero"/>
        <c:auto val="1"/>
        <c:lblAlgn val="ctr"/>
        <c:lblOffset val="100"/>
        <c:noMultiLvlLbl val="0"/>
      </c:catAx>
      <c:valAx>
        <c:axId val="780828192"/>
        <c:scaling>
          <c:orientation val="minMax"/>
          <c:max val="0.4"/>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27632"/>
        <c:crosses val="max"/>
        <c:crossBetween val="between"/>
        <c:majorUnit val="0.1"/>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移动电话基站数量</a:t>
            </a:r>
          </a:p>
        </c:rich>
      </c:tx>
      <c:overlay val="0"/>
    </c:title>
    <c:autoTitleDeleted val="0"/>
    <c:plotArea>
      <c:layout>
        <c:manualLayout>
          <c:layoutTarget val="inner"/>
          <c:xMode val="edge"/>
          <c:yMode val="edge"/>
          <c:x val="0.104165568798064"/>
          <c:y val="0.18108185152352599"/>
          <c:w val="0.82591632328342401"/>
          <c:h val="0.57212007439467405"/>
        </c:manualLayout>
      </c:layout>
      <c:barChart>
        <c:barDir val="col"/>
        <c:grouping val="clustered"/>
        <c:varyColors val="0"/>
        <c:ser>
          <c:idx val="0"/>
          <c:order val="0"/>
          <c:tx>
            <c:strRef>
              <c:f>Sheet1!$B$1</c:f>
              <c:strCache>
                <c:ptCount val="1"/>
                <c:pt idx="0">
                  <c:v>移动电话基站数量（万个）</c:v>
                </c:pt>
              </c:strCache>
            </c:strRef>
          </c:tx>
          <c:spPr>
            <a:solidFill>
              <a:srgbClr val="5B9BD5"/>
            </a:solidFill>
            <a:ln w="12700" cap="flat" cmpd="sng" algn="ctr">
              <a:noFill/>
              <a:prstDash val="solid"/>
              <a:round/>
            </a:ln>
          </c:spPr>
          <c:invertIfNegative val="0"/>
          <c:dLbls>
            <c:numFmt formatCode="0_);[Red]\(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1035</c:v>
                </c:pt>
                <c:pt idx="1">
                  <c:v>1083</c:v>
                </c:pt>
                <c:pt idx="2">
                  <c:v>1129</c:v>
                </c:pt>
                <c:pt idx="3">
                  <c:v>1162</c:v>
                </c:pt>
                <c:pt idx="4">
                  <c:v>1188</c:v>
                </c:pt>
              </c:numCache>
            </c:numRef>
          </c:val>
          <c:extLst>
            <c:ext xmlns:c16="http://schemas.microsoft.com/office/drawing/2014/chart" uri="{C3380CC4-5D6E-409C-BE32-E72D297353CC}">
              <c16:uniqueId val="{00000000-3A30-4CCA-B9A2-54CE40BEF48B}"/>
            </c:ext>
          </c:extLst>
        </c:ser>
        <c:dLbls>
          <c:showLegendKey val="0"/>
          <c:showVal val="1"/>
          <c:showCatName val="0"/>
          <c:showSerName val="0"/>
          <c:showPercent val="0"/>
          <c:showBubbleSize val="0"/>
        </c:dLbls>
        <c:gapWidth val="150"/>
        <c:axId val="797759680"/>
        <c:axId val="797764160"/>
      </c:barChart>
      <c:catAx>
        <c:axId val="79775968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97764160"/>
        <c:crosses val="autoZero"/>
        <c:auto val="1"/>
        <c:lblAlgn val="ctr"/>
        <c:lblOffset val="100"/>
        <c:noMultiLvlLbl val="0"/>
      </c:catAx>
      <c:valAx>
        <c:axId val="797764160"/>
        <c:scaling>
          <c:orientation val="minMax"/>
          <c:max val="1500"/>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97759680"/>
        <c:crosses val="autoZero"/>
        <c:crossBetween val="between"/>
        <c:majorUnit val="3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zh-CN" sz="1000" b="1" i="0" u="none" strike="noStrike" baseline="0">
                <a:effectLst/>
              </a:rPr>
              <a:t>互联网宽带接入端口数量</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3627901758394196"/>
          <c:h val="0.57212007439467405"/>
        </c:manualLayout>
      </c:layout>
      <c:barChart>
        <c:barDir val="col"/>
        <c:grouping val="clustered"/>
        <c:varyColors val="0"/>
        <c:ser>
          <c:idx val="0"/>
          <c:order val="0"/>
          <c:tx>
            <c:strRef>
              <c:f>Sheet1!$B$1</c:f>
              <c:strCache>
                <c:ptCount val="1"/>
                <c:pt idx="0">
                  <c:v>互联网宽带接入端口数量（亿个）</c:v>
                </c:pt>
              </c:strCache>
            </c:strRef>
          </c:tx>
          <c:spPr>
            <a:solidFill>
              <a:srgbClr val="5B9BD5"/>
            </a:solidFill>
            <a:ln w="12700" cap="flat" cmpd="sng" algn="ctr">
              <a:noFill/>
              <a:prstDash val="solid"/>
              <a:round/>
            </a:ln>
          </c:spPr>
          <c:invertIfNegative val="0"/>
          <c:dLbls>
            <c:numFmt formatCode="General"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0.00_ </c:formatCode>
                <c:ptCount val="5"/>
                <c:pt idx="0">
                  <c:v>10.35</c:v>
                </c:pt>
                <c:pt idx="1">
                  <c:v>10.71</c:v>
                </c:pt>
                <c:pt idx="2">
                  <c:v>11.06</c:v>
                </c:pt>
                <c:pt idx="3">
                  <c:v>11.36</c:v>
                </c:pt>
                <c:pt idx="4">
                  <c:v>11.69</c:v>
                </c:pt>
              </c:numCache>
            </c:numRef>
          </c:val>
          <c:extLst>
            <c:ext xmlns:c16="http://schemas.microsoft.com/office/drawing/2014/chart" uri="{C3380CC4-5D6E-409C-BE32-E72D297353CC}">
              <c16:uniqueId val="{00000000-D8A6-4D85-8689-7887F2E24A81}"/>
            </c:ext>
          </c:extLst>
        </c:ser>
        <c:dLbls>
          <c:showLegendKey val="0"/>
          <c:showVal val="1"/>
          <c:showCatName val="0"/>
          <c:showSerName val="0"/>
          <c:showPercent val="0"/>
          <c:showBubbleSize val="0"/>
        </c:dLbls>
        <c:gapWidth val="150"/>
        <c:axId val="813813296"/>
        <c:axId val="813823376"/>
      </c:barChart>
      <c:catAx>
        <c:axId val="81381329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23376"/>
        <c:crosses val="autoZero"/>
        <c:auto val="1"/>
        <c:lblAlgn val="ctr"/>
        <c:lblOffset val="100"/>
        <c:noMultiLvlLbl val="0"/>
      </c:catAx>
      <c:valAx>
        <c:axId val="813823376"/>
        <c:scaling>
          <c:orientation val="minMax"/>
          <c:max val="15"/>
          <c:min val="0"/>
        </c:scaling>
        <c:delete val="0"/>
        <c:axPos val="l"/>
        <c:numFmt formatCode="0_ "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13296"/>
        <c:crosses val="autoZero"/>
        <c:crossBetween val="between"/>
        <c:majorUnit val="3"/>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光缆线路总长度</a:t>
            </a:r>
          </a:p>
        </c:rich>
      </c:tx>
      <c:overlay val="0"/>
    </c:title>
    <c:autoTitleDeleted val="0"/>
    <c:plotArea>
      <c:layout>
        <c:manualLayout>
          <c:layoutTarget val="inner"/>
          <c:xMode val="edge"/>
          <c:yMode val="edge"/>
          <c:x val="0.104165568798064"/>
          <c:y val="0.18108185152352599"/>
          <c:w val="0.83886969115907095"/>
          <c:h val="0.57212007439467405"/>
        </c:manualLayout>
      </c:layout>
      <c:barChart>
        <c:barDir val="col"/>
        <c:grouping val="clustered"/>
        <c:varyColors val="0"/>
        <c:ser>
          <c:idx val="0"/>
          <c:order val="0"/>
          <c:tx>
            <c:strRef>
              <c:f>Sheet1!$B$1</c:f>
              <c:strCache>
                <c:ptCount val="1"/>
                <c:pt idx="0">
                  <c:v>光缆线路总长度（万公里）</c:v>
                </c:pt>
              </c:strCache>
            </c:strRef>
          </c:tx>
          <c:spPr>
            <a:solidFill>
              <a:srgbClr val="5B9BD5"/>
            </a:solidFill>
            <a:ln w="12700" cap="flat" cmpd="sng" algn="ctr">
              <a:noFill/>
              <a:prstDash val="solid"/>
              <a:round/>
            </a:ln>
          </c:spPr>
          <c:invertIfNegative val="0"/>
          <c:dLbls>
            <c:numFmt formatCode="General"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0_ </c:formatCode>
                <c:ptCount val="5"/>
                <c:pt idx="0">
                  <c:v>5791</c:v>
                </c:pt>
                <c:pt idx="1">
                  <c:v>5958</c:v>
                </c:pt>
                <c:pt idx="2">
                  <c:v>6196</c:v>
                </c:pt>
                <c:pt idx="3">
                  <c:v>6432</c:v>
                </c:pt>
                <c:pt idx="4">
                  <c:v>6712</c:v>
                </c:pt>
              </c:numCache>
            </c:numRef>
          </c:val>
          <c:extLst>
            <c:ext xmlns:c16="http://schemas.microsoft.com/office/drawing/2014/chart" uri="{C3380CC4-5D6E-409C-BE32-E72D297353CC}">
              <c16:uniqueId val="{00000000-D94A-4947-8928-9194E25C2E24}"/>
            </c:ext>
          </c:extLst>
        </c:ser>
        <c:dLbls>
          <c:showLegendKey val="0"/>
          <c:showVal val="1"/>
          <c:showCatName val="0"/>
          <c:showSerName val="0"/>
          <c:showPercent val="0"/>
          <c:showBubbleSize val="0"/>
        </c:dLbls>
        <c:gapWidth val="150"/>
        <c:axId val="813827296"/>
        <c:axId val="813822816"/>
      </c:barChart>
      <c:catAx>
        <c:axId val="81382729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22816"/>
        <c:crosses val="autoZero"/>
        <c:auto val="1"/>
        <c:lblAlgn val="ctr"/>
        <c:lblOffset val="100"/>
        <c:noMultiLvlLbl val="0"/>
      </c:catAx>
      <c:valAx>
        <c:axId val="813822816"/>
        <c:scaling>
          <c:orientation val="minMax"/>
          <c:max val="7500"/>
          <c:min val="0"/>
        </c:scaling>
        <c:delete val="0"/>
        <c:axPos val="l"/>
        <c:numFmt formatCode="0_ "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27296"/>
        <c:crosses val="autoZero"/>
        <c:crossBetween val="between"/>
        <c:majorUnit val="15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网站数量</a:t>
            </a:r>
          </a:p>
        </c:rich>
      </c:tx>
      <c:overlay val="0"/>
    </c:title>
    <c:autoTitleDeleted val="0"/>
    <c:plotArea>
      <c:layout>
        <c:manualLayout>
          <c:layoutTarget val="inner"/>
          <c:xMode val="edge"/>
          <c:yMode val="edge"/>
          <c:x val="0.104165568798064"/>
          <c:y val="0.18108185152352599"/>
          <c:w val="0.828506996858553"/>
          <c:h val="0.57212007439467405"/>
        </c:manualLayout>
      </c:layout>
      <c:barChart>
        <c:barDir val="col"/>
        <c:grouping val="clustered"/>
        <c:varyColors val="0"/>
        <c:ser>
          <c:idx val="0"/>
          <c:order val="0"/>
          <c:tx>
            <c:strRef>
              <c:f>Sheet1!$B$1</c:f>
              <c:strCache>
                <c:ptCount val="1"/>
                <c:pt idx="0">
                  <c:v>网站数量（万个）</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0_);[Red]\(0\)</c:formatCode>
                <c:ptCount val="5"/>
                <c:pt idx="0">
                  <c:v>399</c:v>
                </c:pt>
                <c:pt idx="1">
                  <c:v>387</c:v>
                </c:pt>
                <c:pt idx="2">
                  <c:v>383</c:v>
                </c:pt>
                <c:pt idx="3">
                  <c:v>388</c:v>
                </c:pt>
                <c:pt idx="4">
                  <c:v>391</c:v>
                </c:pt>
              </c:numCache>
            </c:numRef>
          </c:val>
          <c:extLst>
            <c:ext xmlns:c16="http://schemas.microsoft.com/office/drawing/2014/chart" uri="{C3380CC4-5D6E-409C-BE32-E72D297353CC}">
              <c16:uniqueId val="{00000000-DDE4-4627-8313-194136988033}"/>
            </c:ext>
          </c:extLst>
        </c:ser>
        <c:dLbls>
          <c:showLegendKey val="0"/>
          <c:showVal val="1"/>
          <c:showCatName val="0"/>
          <c:showSerName val="0"/>
          <c:showPercent val="0"/>
          <c:showBubbleSize val="0"/>
        </c:dLbls>
        <c:gapWidth val="150"/>
        <c:axId val="813826736"/>
        <c:axId val="813818336"/>
      </c:barChart>
      <c:catAx>
        <c:axId val="81382673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18336"/>
        <c:crosses val="autoZero"/>
        <c:auto val="1"/>
        <c:lblAlgn val="ctr"/>
        <c:lblOffset val="100"/>
        <c:noMultiLvlLbl val="0"/>
      </c:catAx>
      <c:valAx>
        <c:axId val="813818336"/>
        <c:scaling>
          <c:orientation val="minMax"/>
          <c:max val="500"/>
          <c:min val="0"/>
        </c:scaling>
        <c:delete val="0"/>
        <c:axPos val="l"/>
        <c:numFmt formatCode="0_);[Red]\(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26736"/>
        <c:crosses val="autoZero"/>
        <c:crossBetween val="between"/>
        <c:majorUnit val="1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sz="1000" b="1" i="0" baseline="0">
                <a:effectLst/>
                <a:latin typeface="Times New Roman" panose="02020603050405020304" charset="0"/>
                <a:ea typeface="宋体" panose="02010600030101010101" charset="-122"/>
                <a:cs typeface="Times New Roman" panose="02020603050405020304" charset="0"/>
              </a:rPr>
              <a:t>“</a:t>
            </a:r>
            <a:r>
              <a:rPr lang="en-US" altLang="zh-CN" sz="1000" b="1" i="0" baseline="0">
                <a:effectLst/>
                <a:latin typeface="Times New Roman" panose="02020603050405020304" charset="0"/>
                <a:ea typeface="宋体" panose="02010600030101010101" charset="-122"/>
                <a:cs typeface="Times New Roman" panose="02020603050405020304" charset="0"/>
              </a:rPr>
              <a:t>.CN</a:t>
            </a:r>
            <a:r>
              <a:rPr lang="zh-CN" altLang="en-US" sz="1000" b="1" i="0" baseline="0">
                <a:effectLst/>
                <a:latin typeface="Times New Roman" panose="02020603050405020304" charset="0"/>
                <a:ea typeface="宋体" panose="02010600030101010101" charset="-122"/>
                <a:cs typeface="Times New Roman" panose="02020603050405020304" charset="0"/>
              </a:rPr>
              <a:t>”全球网站数量</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2400411641083704"/>
          <c:h val="0.57212007439467405"/>
        </c:manualLayout>
      </c:layout>
      <c:barChart>
        <c:barDir val="col"/>
        <c:grouping val="clustered"/>
        <c:varyColors val="0"/>
        <c:ser>
          <c:idx val="0"/>
          <c:order val="0"/>
          <c:tx>
            <c:strRef>
              <c:f>Sheet1!$B$1</c:f>
              <c:strCache>
                <c:ptCount val="1"/>
                <c:pt idx="0">
                  <c:v>“.CN”全球网站数量（万个）</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222</c:v>
                </c:pt>
                <c:pt idx="1">
                  <c:v>225</c:v>
                </c:pt>
                <c:pt idx="2">
                  <c:v>226</c:v>
                </c:pt>
                <c:pt idx="3">
                  <c:v>234</c:v>
                </c:pt>
                <c:pt idx="4">
                  <c:v>232</c:v>
                </c:pt>
              </c:numCache>
            </c:numRef>
          </c:val>
          <c:extLst>
            <c:ext xmlns:c16="http://schemas.microsoft.com/office/drawing/2014/chart" uri="{C3380CC4-5D6E-409C-BE32-E72D297353CC}">
              <c16:uniqueId val="{00000000-FBF8-415A-8258-3E0B5AE8413B}"/>
            </c:ext>
          </c:extLst>
        </c:ser>
        <c:dLbls>
          <c:showLegendKey val="0"/>
          <c:showVal val="1"/>
          <c:showCatName val="0"/>
          <c:showSerName val="0"/>
          <c:showPercent val="0"/>
          <c:showBubbleSize val="0"/>
        </c:dLbls>
        <c:gapWidth val="150"/>
        <c:axId val="813815536"/>
        <c:axId val="813824496"/>
      </c:barChart>
      <c:catAx>
        <c:axId val="81381553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24496"/>
        <c:crosses val="autoZero"/>
        <c:auto val="1"/>
        <c:lblAlgn val="ctr"/>
        <c:lblOffset val="100"/>
        <c:noMultiLvlLbl val="0"/>
      </c:catAx>
      <c:valAx>
        <c:axId val="813824496"/>
        <c:scaling>
          <c:orientation val="minMax"/>
          <c:max val="3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15536"/>
        <c:crosses val="autoZero"/>
        <c:crossBetween val="between"/>
        <c:majorUnit val="1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76969665147"/>
          <c:y val="0.87206519397841231"/>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zh-CN" sz="1000" b="1" i="0" u="none" strike="noStrike" baseline="0">
                <a:effectLst/>
              </a:rPr>
              <a:t>移动互联网接入流量</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2073497613316504"/>
          <c:h val="0.57212007439467405"/>
        </c:manualLayout>
      </c:layout>
      <c:barChart>
        <c:barDir val="col"/>
        <c:grouping val="clustered"/>
        <c:varyColors val="0"/>
        <c:ser>
          <c:idx val="0"/>
          <c:order val="0"/>
          <c:tx>
            <c:strRef>
              <c:f>Sheet1!$B$1</c:f>
              <c:strCache>
                <c:ptCount val="1"/>
                <c:pt idx="0">
                  <c:v>移动互联网接入流量（亿GB）</c:v>
                </c:pt>
              </c:strCache>
            </c:strRef>
          </c:tx>
          <c:spPr>
            <a:solidFill>
              <a:srgbClr val="5B9BD5"/>
            </a:solidFill>
            <a:ln w="12700" cap="flat" cmpd="sng" algn="ctr">
              <a:noFill/>
              <a:prstDash val="solid"/>
              <a:round/>
            </a:ln>
          </c:spPr>
          <c:invertIfNegative val="0"/>
          <c:dLbls>
            <c:numFmt formatCode="General"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2022年上半年</c:v>
                </c:pt>
                <c:pt idx="1">
                  <c:v>2022年下半年</c:v>
                </c:pt>
                <c:pt idx="2">
                  <c:v>2023年上半年</c:v>
                </c:pt>
                <c:pt idx="3">
                  <c:v>2023年下半年</c:v>
                </c:pt>
                <c:pt idx="4">
                  <c:v>2024年上半年</c:v>
                </c:pt>
              </c:strCache>
            </c:strRef>
          </c:cat>
          <c:val>
            <c:numRef>
              <c:f>Sheet1!$B$2:$B$6</c:f>
              <c:numCache>
                <c:formatCode>0;[Red]0</c:formatCode>
                <c:ptCount val="5"/>
                <c:pt idx="0">
                  <c:v>1241</c:v>
                </c:pt>
                <c:pt idx="1">
                  <c:v>1377</c:v>
                </c:pt>
                <c:pt idx="2">
                  <c:v>1423</c:v>
                </c:pt>
                <c:pt idx="3">
                  <c:v>1592</c:v>
                </c:pt>
                <c:pt idx="4">
                  <c:v>1604</c:v>
                </c:pt>
              </c:numCache>
            </c:numRef>
          </c:val>
          <c:extLst>
            <c:ext xmlns:c16="http://schemas.microsoft.com/office/drawing/2014/chart" uri="{C3380CC4-5D6E-409C-BE32-E72D297353CC}">
              <c16:uniqueId val="{00000000-8295-498B-87AA-90E36472E1DA}"/>
            </c:ext>
          </c:extLst>
        </c:ser>
        <c:dLbls>
          <c:showLegendKey val="0"/>
          <c:showVal val="1"/>
          <c:showCatName val="0"/>
          <c:showSerName val="0"/>
          <c:showPercent val="0"/>
          <c:showBubbleSize val="0"/>
        </c:dLbls>
        <c:gapWidth val="150"/>
        <c:axId val="813831216"/>
        <c:axId val="813830096"/>
      </c:barChart>
      <c:catAx>
        <c:axId val="81383121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30096"/>
        <c:crosses val="autoZero"/>
        <c:auto val="1"/>
        <c:lblAlgn val="ctr"/>
        <c:lblOffset val="100"/>
        <c:noMultiLvlLbl val="0"/>
      </c:catAx>
      <c:valAx>
        <c:axId val="813830096"/>
        <c:scaling>
          <c:orientation val="minMax"/>
          <c:max val="2000"/>
          <c:min val="0"/>
        </c:scaling>
        <c:delete val="0"/>
        <c:axPos val="l"/>
        <c:numFmt formatCode="0_ "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31216"/>
        <c:crosses val="autoZero"/>
        <c:crossBetween val="between"/>
        <c:majorUnit val="5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drawings/_rels/drawing1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png"/></Relationships>
</file>

<file path=word/drawings/_rels/drawing1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2" name="矩形 1"/>
        <cdr:cNvSpPr/>
      </cdr:nvSpPr>
      <cdr:spPr>
        <a:xfrm xmlns:a="http://schemas.openxmlformats.org/drawingml/2006/main">
          <a:off x="0" y="2658220"/>
          <a:ext cx="4600800" cy="20880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来源：</a:t>
          </a:r>
          <a:r>
            <a:rPr lang="zh-CN" altLang="en-US" sz="800" b="0" kern="100">
              <a:solidFill>
                <a:srgbClr val="0070C0"/>
              </a:solidFill>
              <a:latin typeface="微软雅黑" panose="020B0503020204020204" pitchFamily="34" charset="-122"/>
              <a:ea typeface="微软雅黑" panose="020B0503020204020204" pitchFamily="34" charset="-122"/>
              <a:cs typeface="Times New Roman" panose="02020603050405020304"/>
            </a:rPr>
            <a:t>中国联通</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2024.6</a:t>
          </a:r>
          <a:endParaRPr lang="zh-CN" altLang="en-US" sz="800" b="0">
            <a:solidFill>
              <a:srgbClr val="0070C0"/>
            </a:solidFill>
            <a:latin typeface="微软雅黑" panose="020B0503020204020204" pitchFamily="34" charset="-122"/>
            <a:ea typeface="微软雅黑" panose="020B0503020204020204" pitchFamily="34" charset="-122"/>
          </a:endParaRPr>
        </a:p>
      </cdr:txBody>
    </cdr:sp>
  </cdr:relSizeAnchor>
  <cdr:relSizeAnchor xmlns:cdr="http://schemas.openxmlformats.org/drawingml/2006/chartDrawing">
    <cdr:from>
      <cdr:x>0</cdr:x>
      <cdr:y>0.9269</cdr:y>
    </cdr:from>
    <cdr:to>
      <cdr:x>1</cdr:x>
      <cdr:y>0.93284</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57457"/>
          <a:ext cx="4600800" cy="17018"/>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0.91405</cdr:y>
    </cdr:from>
    <cdr:to>
      <cdr:x>1</cdr:x>
      <cdr:y>1</cdr:y>
    </cdr:to>
    <cdr:sp macro="" textlink="">
      <cdr:nvSpPr>
        <cdr:cNvPr id="2" name="矩形 1"/>
        <cdr:cNvSpPr/>
      </cdr:nvSpPr>
      <cdr:spPr>
        <a:xfrm xmlns:a="http://schemas.openxmlformats.org/drawingml/2006/main">
          <a:off x="0" y="2307176"/>
          <a:ext cx="4600800" cy="21694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900" b="0" kern="100">
              <a:solidFill>
                <a:srgbClr val="0070C0"/>
              </a:solidFill>
              <a:latin typeface="+mj-ea"/>
              <a:ea typeface="+mj-ea"/>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j-ea"/>
              <a:ea typeface="+mj-ea"/>
              <a:cs typeface="Times New Roman" panose="02020603050405020304"/>
            </a:rPr>
            <a:t>中国互联网络发展状况统计调查</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baseline="0">
              <a:solidFill>
                <a:srgbClr val="0070C0"/>
              </a:solidFill>
              <a:latin typeface="Times New Roman" panose="02020603050405020304" charset="0"/>
              <a:ea typeface="微软雅黑" panose="020B0503020204020204" pitchFamily="34" charset="-122"/>
              <a:cs typeface="Times New Roman" panose="02020603050405020304" charset="0"/>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0.91502</cdr:y>
    </cdr:from>
    <cdr:to>
      <cdr:x>1</cdr:x>
      <cdr:y>0.92215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0.07914</cdr:x>
      <cdr:y>0.92877</cdr:y>
    </cdr:from>
    <cdr:to>
      <cdr:x>0.22224</cdr:x>
      <cdr:y>0.99398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4140" y="2350816"/>
          <a:ext cx="658433" cy="165054"/>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0.91983</cdr:y>
    </cdr:from>
    <cdr:to>
      <cdr:x>1</cdr:x>
      <cdr:y>1</cdr:y>
    </cdr:to>
    <cdr:sp macro="" textlink="">
      <cdr:nvSpPr>
        <cdr:cNvPr id="2" name="矩形 1"/>
        <cdr:cNvSpPr/>
      </cdr:nvSpPr>
      <cdr:spPr>
        <a:xfrm xmlns:a="http://schemas.openxmlformats.org/drawingml/2006/main">
          <a:off x="0" y="2328203"/>
          <a:ext cx="4620895" cy="20290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n-ea"/>
              <a:ea typeface="+mn-ea"/>
              <a:cs typeface="Times New Roman" panose="02020603050405020304"/>
            </a:rPr>
            <a:t>中国互联网</a:t>
          </a:r>
          <a:r>
            <a:rPr lang="zh-CN" altLang="en-US" sz="900" b="0" kern="100">
              <a:solidFill>
                <a:srgbClr val="0070C0"/>
              </a:solidFill>
              <a:latin typeface="+mn-ea"/>
              <a:ea typeface="+mn-ea"/>
              <a:cs typeface="Times New Roman" panose="02020603050405020304"/>
            </a:rPr>
            <a:t>络发展</a:t>
          </a:r>
          <a:r>
            <a:rPr lang="zh-CN" altLang="zh-CN" sz="900" b="0" kern="100">
              <a:solidFill>
                <a:srgbClr val="0070C0"/>
              </a:solidFill>
              <a:latin typeface="+mn-ea"/>
              <a:ea typeface="+mn-ea"/>
              <a:cs typeface="Times New Roman" panose="02020603050405020304"/>
            </a:rPr>
            <a:t>状况</a:t>
          </a:r>
          <a:r>
            <a:rPr lang="zh-CN" altLang="en-US" sz="900" b="0" kern="100">
              <a:solidFill>
                <a:srgbClr val="0070C0"/>
              </a:solidFill>
              <a:latin typeface="+mn-ea"/>
              <a:ea typeface="+mn-ea"/>
              <a:cs typeface="Times New Roman" panose="02020603050405020304"/>
            </a:rPr>
            <a:t>统计</a:t>
          </a:r>
          <a:r>
            <a:rPr lang="zh-CN" altLang="zh-CN" sz="900" b="0" kern="100">
              <a:solidFill>
                <a:srgbClr val="0070C0"/>
              </a:solidFill>
              <a:latin typeface="+mn-ea"/>
              <a:ea typeface="+mn-ea"/>
              <a:cs typeface="Times New Roman" panose="02020603050405020304"/>
            </a:rPr>
            <a:t>调查</a:t>
          </a:r>
          <a:r>
            <a:rPr lang="en-US" altLang="zh-CN" sz="800" b="0" kern="100">
              <a:solidFill>
                <a:srgbClr val="0070C0"/>
              </a:solidFill>
              <a:latin typeface="+mn-ea"/>
              <a:ea typeface="+mn-ea"/>
              <a:cs typeface="Times New Roman" panose="02020603050405020304"/>
            </a:rPr>
            <a:t>	</a:t>
          </a:r>
          <a:r>
            <a:rPr lang="zh-CN" altLang="en-US"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mn-ea"/>
              <a:cs typeface="Times New Roman" panose="02020603050405020304" charset="0"/>
            </a:rPr>
            <a:t>2024.6</a:t>
          </a:r>
          <a:endParaRPr lang="zh-CN" altLang="en-US" sz="900" b="0">
            <a:solidFill>
              <a:srgbClr val="0070C0"/>
            </a:solidFill>
            <a:latin typeface="Times New Roman" panose="02020603050405020304" charset="0"/>
            <a:ea typeface="+mn-ea"/>
            <a:cs typeface="Times New Roman" panose="02020603050405020304" charset="0"/>
          </a:endParaRPr>
        </a:p>
      </cdr:txBody>
    </cdr:sp>
  </cdr:relSizeAnchor>
  <cdr:relSizeAnchor xmlns:cdr="http://schemas.openxmlformats.org/drawingml/2006/chartDrawing">
    <cdr:from>
      <cdr:x>0.07737</cdr:x>
      <cdr:y>0.92226</cdr:y>
    </cdr:from>
    <cdr:to>
      <cdr:x>0.18672</cdr:x>
      <cdr:y>0.98333</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7538" y="2334332"/>
          <a:ext cx="505295" cy="154575"/>
        </a:xfrm>
        <a:prstGeom xmlns:a="http://schemas.openxmlformats.org/drawingml/2006/main" prst="rect">
          <a:avLst/>
        </a:prstGeom>
      </cdr:spPr>
    </cdr:pic>
  </cdr:relSizeAnchor>
  <cdr:relSizeAnchor xmlns:cdr="http://schemas.openxmlformats.org/drawingml/2006/chartDrawing">
    <cdr:from>
      <cdr:x>0</cdr:x>
      <cdr:y>0.91272</cdr:y>
    </cdr:from>
    <cdr:to>
      <cdr:x>1</cdr:x>
      <cdr:y>0.92384</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2310188"/>
          <a:ext cx="4620895" cy="28146"/>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矩形 1"/>
        <cdr:cNvSpPr/>
      </cdr:nvSpPr>
      <cdr:spPr>
        <a:xfrm xmlns:a="http://schemas.openxmlformats.org/drawingml/2006/main">
          <a:off x="0" y="2761793"/>
          <a:ext cx="4754880" cy="266522"/>
        </a:xfrm>
        <a:prstGeom xmlns:a="http://schemas.openxmlformats.org/drawingml/2006/main" prst="rect">
          <a:avLst/>
        </a:prstGeom>
      </cdr:spPr>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n-ea"/>
              <a:ea typeface="+mn-ea"/>
              <a:cs typeface="Times New Roman" panose="02020603050405020304"/>
            </a:rPr>
            <a:t>中国</a:t>
          </a:r>
          <a:r>
            <a:rPr lang="zh-CN" altLang="en-US" sz="900" b="0" kern="100">
              <a:solidFill>
                <a:srgbClr val="0070C0"/>
              </a:solidFill>
              <a:latin typeface="+mn-ea"/>
              <a:ea typeface="+mn-ea"/>
              <a:cs typeface="Times New Roman" panose="02020603050405020304"/>
            </a:rPr>
            <a:t>互联网络发展状况统计调查</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absSizeAnchor xmlns:cdr="http://schemas.openxmlformats.org/drawingml/2006/chartDrawing">
    <cdr:from>
      <cdr:x>0</cdr:x>
      <cdr:y>0.90354</cdr:y>
    </cdr:from>
    <cdr:ext cx="5243195" cy="45719"/>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204"/>
          <a:ext cx="5243195" cy="45719"/>
        </a:xfrm>
        <a:prstGeom xmlns:a="http://schemas.openxmlformats.org/drawingml/2006/main" prst="rect">
          <a:avLst/>
        </a:prstGeom>
      </cdr:spPr>
    </cdr:pic>
  </cdr:absSizeAnchor>
  <cdr:relSizeAnchor xmlns:cdr="http://schemas.openxmlformats.org/drawingml/2006/chartDrawing">
    <cdr:from>
      <cdr:x>0.06498</cdr:x>
      <cdr:y>0.92565</cdr:y>
    </cdr:from>
    <cdr:to>
      <cdr:x>0.18087</cdr:x>
      <cdr:y>0.97862</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2018" y="2803160"/>
          <a:ext cx="592180" cy="160410"/>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0.92126</cdr:y>
    </cdr:from>
    <cdr:to>
      <cdr:x>1</cdr:x>
      <cdr:y>0.99385</cdr:y>
    </cdr:to>
    <cdr:sp macro="" textlink="">
      <cdr:nvSpPr>
        <cdr:cNvPr id="2" name="矩形 1"/>
        <cdr:cNvSpPr/>
      </cdr:nvSpPr>
      <cdr:spPr>
        <a:xfrm xmlns:a="http://schemas.openxmlformats.org/drawingml/2006/main">
          <a:off x="0" y="2316594"/>
          <a:ext cx="4695825" cy="18253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j-ea"/>
              <a:ea typeface="+mj-ea"/>
              <a:cs typeface="Times New Roman" panose="02020603050405020304"/>
            </a:rPr>
            <a:t>中国互联网络发展状况统计调查</a:t>
          </a:r>
          <a:r>
            <a:rPr lang="en-US" altLang="zh-CN" sz="900" b="0" kern="100">
              <a:solidFill>
                <a:srgbClr val="0070C0"/>
              </a:solidFill>
              <a:latin typeface="+mj-ea"/>
              <a:ea typeface="+mj-ea"/>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0.9114</cdr:y>
    </cdr:from>
    <cdr:to>
      <cdr:x>1</cdr:x>
      <cdr:y>0.91721</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91802"/>
          <a:ext cx="4695825" cy="14610"/>
        </a:xfrm>
        <a:prstGeom xmlns:a="http://schemas.openxmlformats.org/drawingml/2006/main" prst="rect">
          <a:avLst/>
        </a:prstGeom>
      </cdr:spPr>
    </cdr:pic>
  </cdr:relSizeAnchor>
  <cdr:relSizeAnchor xmlns:cdr="http://schemas.openxmlformats.org/drawingml/2006/chartDrawing">
    <cdr:from>
      <cdr:x>0.0848</cdr:x>
      <cdr:y>0.92483</cdr:y>
    </cdr:from>
    <cdr:to>
      <cdr:x>0.2159</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8206" y="2325565"/>
          <a:ext cx="615600" cy="164592"/>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2" name="矩形 1"/>
        <cdr:cNvSpPr/>
      </cdr:nvSpPr>
      <cdr:spPr>
        <a:xfrm xmlns:a="http://schemas.openxmlformats.org/drawingml/2006/main">
          <a:off x="0" y="2480957"/>
          <a:ext cx="5083810" cy="22270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j-ea"/>
              <a:ea typeface="+mj-ea"/>
              <a:cs typeface="Times New Roman" panose="02020603050405020304"/>
            </a:rPr>
            <a:t>中国互联网络发展状况统计调查</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   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0.88694</cdr:y>
    </cdr:from>
    <cdr:to>
      <cdr:x>1</cdr:x>
      <cdr:y>0.89274</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0.06394</cdr:x>
      <cdr:y>0.908</cdr:y>
    </cdr:from>
    <cdr:to>
      <cdr:x>0.19346</cdr:x>
      <cdr:y>0.97371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5641" y="2510436"/>
          <a:ext cx="679839" cy="181675"/>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zh-CN" altLang="en-US" sz="900" b="0" kern="100">
              <a:solidFill>
                <a:srgbClr val="0070C0"/>
              </a:solidFill>
              <a:latin typeface="+mj-ea"/>
              <a:ea typeface="+mj-ea"/>
              <a:cs typeface="Times New Roman" panose="02020603050405020304"/>
            </a:rPr>
            <a:t>：</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j-ea"/>
              <a:ea typeface="+mj-ea"/>
              <a:cs typeface="Times New Roman" panose="02020603050405020304"/>
            </a:rPr>
            <a:t>中国互</a:t>
          </a:r>
          <a:r>
            <a:rPr lang="zh-CN" altLang="zh-CN" sz="900" b="0" kern="100" baseline="0">
              <a:solidFill>
                <a:srgbClr val="0070C0"/>
              </a:solidFill>
              <a:latin typeface="+mj-ea"/>
              <a:ea typeface="+mj-ea"/>
              <a:cs typeface="Times New Roman" panose="02020603050405020304"/>
            </a:rPr>
            <a:t>联网络发展</a:t>
          </a:r>
          <a:r>
            <a:rPr lang="zh-CN" altLang="zh-CN" sz="900" b="0" kern="100">
              <a:solidFill>
                <a:srgbClr val="0070C0"/>
              </a:solidFill>
              <a:latin typeface="+mj-ea"/>
              <a:ea typeface="+mj-ea"/>
              <a:cs typeface="Times New Roman" panose="02020603050405020304"/>
            </a:rPr>
            <a:t>状况统计调查</a:t>
          </a:r>
          <a:r>
            <a:rPr lang="en-US" altLang="zh-CN" sz="900" b="0" kern="100">
              <a:solidFill>
                <a:srgbClr val="0070C0"/>
              </a:solidFill>
              <a:latin typeface="+mj-ea"/>
              <a:ea typeface="+mj-ea"/>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dr:relSizeAnchor xmlns:cdr="http://schemas.openxmlformats.org/drawingml/2006/chartDrawing">
    <cdr:from>
      <cdr:x>0.07561</cdr:x>
      <cdr:y>0.92116</cdr:y>
    </cdr:from>
    <cdr:to>
      <cdr:x>0.21871</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7854" y="2193503"/>
          <a:ext cx="658343" cy="16459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Times New Roman" panose="02020603050405020304" charset="0"/>
              <a:ea typeface="宋体" panose="02010600030101010101" charset="-122"/>
              <a:cs typeface="Times New Roman" panose="02020603050405020304" charset="0"/>
            </a:rPr>
            <a:t>来源：</a:t>
          </a:r>
          <a:r>
            <a:rPr lang="zh-CN" altLang="en-US" sz="900" b="0" kern="100">
              <a:solidFill>
                <a:srgbClr val="0070C0"/>
              </a:solidFill>
              <a:latin typeface="Times New Roman" panose="02020603050405020304" charset="0"/>
              <a:ea typeface="+mj-ea"/>
              <a:cs typeface="Times New Roman" panose="02020603050405020304" charset="0"/>
            </a:rPr>
            <a:t>国家</a:t>
          </a:r>
          <a:r>
            <a:rPr lang="en-US" altLang="zh-CN" sz="900" b="0" kern="100">
              <a:solidFill>
                <a:srgbClr val="0070C0"/>
              </a:solidFill>
              <a:latin typeface="Times New Roman" panose="02020603050405020304" charset="0"/>
              <a:ea typeface="+mj-ea"/>
              <a:cs typeface="Times New Roman" panose="02020603050405020304" charset="0"/>
            </a:rPr>
            <a:t>IPv6</a:t>
          </a:r>
          <a:r>
            <a:rPr lang="zh-CN" altLang="en-US" sz="900" b="0" kern="100">
              <a:solidFill>
                <a:srgbClr val="0070C0"/>
              </a:solidFill>
              <a:latin typeface="Times New Roman" panose="02020603050405020304" charset="0"/>
              <a:ea typeface="+mj-ea"/>
              <a:cs typeface="Times New Roman" panose="02020603050405020304" charset="0"/>
            </a:rPr>
            <a:t>发展监测平台</a:t>
          </a:r>
          <a:r>
            <a:rPr lang="en-US" altLang="zh-CN" sz="900" b="0" kern="100">
              <a:solidFill>
                <a:srgbClr val="0070C0"/>
              </a:solidFill>
              <a:latin typeface="Times New Roman" panose="02020603050405020304" charset="0"/>
              <a:ea typeface="+mj-ea"/>
              <a:cs typeface="Times New Roman" panose="02020603050405020304" charset="0"/>
            </a:rPr>
            <a:t>			</a:t>
          </a:r>
          <a:r>
            <a:rPr lang="en-US" altLang="zh-CN" sz="900" b="0" kern="100" baseline="0">
              <a:solidFill>
                <a:srgbClr val="0070C0"/>
              </a:solidFill>
              <a:latin typeface="Times New Roman" panose="02020603050405020304" charset="0"/>
              <a:ea typeface="+mj-ea"/>
              <a:cs typeface="Times New Roman" panose="02020603050405020304" charset="0"/>
            </a:rPr>
            <a:t>                        </a:t>
          </a:r>
          <a:r>
            <a:rPr lang="en-US" altLang="zh-CN" sz="900" b="0" kern="100">
              <a:solidFill>
                <a:srgbClr val="0070C0"/>
              </a:solidFill>
              <a:latin typeface="Times New Roman" panose="02020603050405020304" charset="0"/>
              <a:ea typeface="+mj-ea"/>
              <a:cs typeface="Times New Roman" panose="02020603050405020304" charset="0"/>
            </a:rPr>
            <a:t>2024.5</a:t>
          </a:r>
          <a:endParaRPr lang="zh-CN" altLang="en-US" sz="900" b="0">
            <a:solidFill>
              <a:srgbClr val="0070C0"/>
            </a:solidFill>
            <a:latin typeface="Times New Roman" panose="02020603050405020304" charset="0"/>
            <a:ea typeface="+mj-ea"/>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75079"/>
          <a:ext cx="4601210" cy="20998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n-ea"/>
              <a:ea typeface="+mn-ea"/>
              <a:cs typeface="Times New Roman" panose="02020603050405020304"/>
            </a:rPr>
            <a:t>来源：</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mj-ea"/>
              <a:ea typeface="+mj-ea"/>
              <a:cs typeface="Times New Roman" panose="02020603050405020304"/>
            </a:rPr>
            <a:t>  </a:t>
          </a:r>
          <a:r>
            <a:rPr lang="zh-CN" altLang="zh-CN" sz="900" b="0" kern="100">
              <a:solidFill>
                <a:srgbClr val="0070C0"/>
              </a:solidFill>
              <a:latin typeface="+mj-ea"/>
              <a:ea typeface="+mj-ea"/>
              <a:cs typeface="Times New Roman" panose="02020603050405020304"/>
            </a:rPr>
            <a:t>中国互</a:t>
          </a:r>
          <a:r>
            <a:rPr lang="zh-CN" altLang="zh-CN" sz="900" b="0" kern="100" baseline="0">
              <a:solidFill>
                <a:srgbClr val="0070C0"/>
              </a:solidFill>
              <a:latin typeface="+mn-ea"/>
              <a:ea typeface="+mn-ea"/>
              <a:cs typeface="Times New Roman" panose="02020603050405020304"/>
            </a:rPr>
            <a:t>联网络发展</a:t>
          </a:r>
          <a:r>
            <a:rPr lang="zh-CN" altLang="zh-CN" sz="900" b="0" kern="100">
              <a:solidFill>
                <a:srgbClr val="0070C0"/>
              </a:solidFill>
              <a:latin typeface="+mn-ea"/>
              <a:ea typeface="+mn-ea"/>
              <a:cs typeface="Times New Roman" panose="02020603050405020304"/>
            </a:rPr>
            <a:t>状况统计调查</a:t>
          </a:r>
          <a:r>
            <a:rPr lang="en-US" altLang="zh-CN" sz="9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baseline="0">
              <a:solidFill>
                <a:srgbClr val="0070C0"/>
              </a:solidFill>
              <a:latin typeface="Times New Roman" panose="02020603050405020304" charset="0"/>
              <a:ea typeface="微软雅黑" panose="020B0503020204020204" pitchFamily="34" charset="-122"/>
              <a:cs typeface="Times New Roman" panose="02020603050405020304" charset="0"/>
            </a:rPr>
            <a:t>                </a:t>
          </a:r>
          <a:r>
            <a:rPr lang="zh-CN" altLang="en-US" sz="900" b="0" kern="100" baseline="0">
              <a:solidFill>
                <a:srgbClr val="0070C0"/>
              </a:solidFill>
              <a:latin typeface="Times New Roman" panose="02020603050405020304" charset="0"/>
              <a:ea typeface="微软雅黑" panose="020B0503020204020204" pitchFamily="34" charset="-122"/>
              <a:cs typeface="Times New Roman" panose="02020603050405020304" charset="0"/>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0.02822</cdr:x>
      <cdr:y>0.91502</cdr:y>
    </cdr:from>
    <cdr:to>
      <cdr:x>0.96637</cdr:x>
      <cdr:y>0.92047</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4" name="图片 3"/>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0.07517</cdr:x>
      <cdr:y>0.92373</cdr:y>
    </cdr:from>
    <cdr:to>
      <cdr:x>0.21827</cdr:x>
      <cdr:y>0.99313</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0896" y="2048291"/>
          <a:ext cx="725131" cy="153889"/>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75079"/>
          <a:ext cx="4601210" cy="20998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n-ea"/>
              <a:ea typeface="+mn-ea"/>
              <a:cs typeface="Times New Roman" panose="02020603050405020304"/>
            </a:rPr>
            <a:t>来源：</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mj-ea"/>
              <a:ea typeface="+mj-ea"/>
              <a:cs typeface="Times New Roman" panose="02020603050405020304"/>
            </a:rPr>
            <a:t>  </a:t>
          </a:r>
          <a:r>
            <a:rPr lang="zh-CN" altLang="en-US" sz="900" b="0" kern="100">
              <a:solidFill>
                <a:srgbClr val="0070C0"/>
              </a:solidFill>
              <a:latin typeface="+mj-ea"/>
              <a:ea typeface="+mj-ea"/>
              <a:cs typeface="Times New Roman" panose="02020603050405020304"/>
            </a:rPr>
            <a:t>  </a:t>
          </a:r>
          <a:r>
            <a:rPr lang="zh-CN" altLang="zh-CN" sz="900" b="0" kern="100">
              <a:solidFill>
                <a:srgbClr val="0070C0"/>
              </a:solidFill>
              <a:latin typeface="+mj-ea"/>
              <a:ea typeface="+mj-ea"/>
              <a:cs typeface="Times New Roman" panose="02020603050405020304"/>
            </a:rPr>
            <a:t>中国互</a:t>
          </a:r>
          <a:r>
            <a:rPr lang="zh-CN" altLang="zh-CN" sz="900" b="0" kern="100" baseline="0">
              <a:solidFill>
                <a:srgbClr val="0070C0"/>
              </a:solidFill>
              <a:latin typeface="+mn-ea"/>
              <a:ea typeface="+mn-ea"/>
              <a:cs typeface="Times New Roman" panose="02020603050405020304"/>
            </a:rPr>
            <a:t>联网络发展</a:t>
          </a:r>
          <a:r>
            <a:rPr lang="zh-CN" altLang="zh-CN" sz="900" b="0" kern="100">
              <a:solidFill>
                <a:srgbClr val="0070C0"/>
              </a:solidFill>
              <a:latin typeface="+mn-ea"/>
              <a:ea typeface="+mn-ea"/>
              <a:cs typeface="Times New Roman" panose="02020603050405020304"/>
            </a:rPr>
            <a:t>状况统计调查</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baseline="0">
              <a:solidFill>
                <a:srgbClr val="0070C0"/>
              </a:solidFill>
              <a:latin typeface="Times New Roman" panose="02020603050405020304" charset="0"/>
              <a:ea typeface="微软雅黑" panose="020B0503020204020204" pitchFamily="34" charset="-122"/>
              <a:cs typeface="Times New Roman" panose="02020603050405020304" charset="0"/>
            </a:rPr>
            <a:t>                </a:t>
          </a:r>
          <a:r>
            <a:rPr lang="zh-CN" altLang="en-US" sz="900" b="0" kern="100" baseline="0">
              <a:solidFill>
                <a:srgbClr val="0070C0"/>
              </a:solidFill>
              <a:latin typeface="Times New Roman" panose="02020603050405020304" charset="0"/>
              <a:ea typeface="微软雅黑" panose="020B0503020204020204" pitchFamily="34" charset="-122"/>
              <a:cs typeface="Times New Roman" panose="02020603050405020304" charset="0"/>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0.02822</cdr:x>
      <cdr:y>0.91502</cdr:y>
    </cdr:from>
    <cdr:to>
      <cdr:x>0.96637</cdr:x>
      <cdr:y>0.92047</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4" name="图片 3"/>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0.0626</cdr:x>
      <cdr:y>0.92224</cdr:y>
    </cdr:from>
    <cdr:to>
      <cdr:x>0.19311</cdr:x>
      <cdr:y>0.98058</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7811" y="2171488"/>
          <a:ext cx="808529" cy="137372"/>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0.91432</cdr:y>
    </cdr:from>
    <cdr:to>
      <cdr:x>1</cdr:x>
      <cdr:y>0.97789</cdr:y>
    </cdr:to>
    <cdr:sp macro="" textlink="">
      <cdr:nvSpPr>
        <cdr:cNvPr id="2" name="矩形 1"/>
        <cdr:cNvSpPr/>
      </cdr:nvSpPr>
      <cdr:spPr>
        <a:xfrm xmlns:a="http://schemas.openxmlformats.org/drawingml/2006/main">
          <a:off x="0" y="2778125"/>
          <a:ext cx="5248910" cy="19316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j-ea"/>
              <a:ea typeface="+mj-ea"/>
              <a:cs typeface="Times New Roman" panose="02020603050405020304"/>
            </a:rPr>
            <a:t>中国互联网络发展状况统计调查</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   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0.90888</cdr:y>
    </cdr:from>
    <cdr:to>
      <cdr:x>1</cdr:x>
      <cdr:y>0.91468</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50938" y="2761620"/>
          <a:ext cx="5248910" cy="17623"/>
        </a:xfrm>
        <a:prstGeom xmlns:a="http://schemas.openxmlformats.org/drawingml/2006/main" prst="rect">
          <a:avLst/>
        </a:prstGeom>
      </cdr:spPr>
    </cdr:pic>
  </cdr:relSizeAnchor>
  <cdr:relSizeAnchor xmlns:cdr="http://schemas.openxmlformats.org/drawingml/2006/chartDrawing">
    <cdr:from>
      <cdr:x>0.06394</cdr:x>
      <cdr:y>0.93156</cdr:y>
    </cdr:from>
    <cdr:to>
      <cdr:x>0.19346</cdr:x>
      <cdr:y>0.97544</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5615" y="2830513"/>
          <a:ext cx="679839" cy="133350"/>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0.08093</cdr:x>
      <cdr:y>0.9404</cdr:y>
    </cdr:from>
    <cdr:to>
      <cdr:x>0.21262</cdr:x>
      <cdr:y>0.99735</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6239" y="2705100"/>
          <a:ext cx="644733" cy="163830"/>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0.07977</cdr:x>
      <cdr:y>0.93742</cdr:y>
    </cdr:from>
    <cdr:to>
      <cdr:x>0.22257</cdr:x>
      <cdr:y>0.99603</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0542" y="2696536"/>
          <a:ext cx="699118" cy="168584"/>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zh-CN" altLang="en-US" sz="900" b="0" kern="100">
              <a:solidFill>
                <a:srgbClr val="0070C0"/>
              </a:solidFill>
              <a:latin typeface="+mj-ea"/>
              <a:ea typeface="+mj-ea"/>
              <a:cs typeface="Times New Roman" panose="02020603050405020304"/>
            </a:rPr>
            <a:t>工业和信息化部</a:t>
          </a:r>
          <a:r>
            <a:rPr lang="en-US" altLang="zh-CN" sz="900" b="0" kern="100">
              <a:solidFill>
                <a:srgbClr val="0070C0"/>
              </a:solidFill>
              <a:latin typeface="+mj-ea"/>
              <a:ea typeface="+mj-ea"/>
              <a:cs typeface="Times New Roman" panose="02020603050405020304"/>
            </a:rPr>
            <a:t>			</a:t>
          </a:r>
          <a:r>
            <a:rPr lang="en-US" altLang="zh-CN" sz="900" b="0" kern="100" baseline="0">
              <a:solidFill>
                <a:srgbClr val="0070C0"/>
              </a:solidFill>
              <a:latin typeface="+mj-ea"/>
              <a:ea typeface="+mj-ea"/>
              <a:cs typeface="Times New Roman" panose="02020603050405020304"/>
            </a:rPr>
            <a:t>            </a:t>
          </a:r>
          <a:r>
            <a:rPr lang="en-US" altLang="zh-CN" sz="900" b="0" kern="100">
              <a:solidFill>
                <a:srgbClr val="0070C0"/>
              </a:solidFill>
              <a:latin typeface="Times New Roman" panose="02020603050405020304" charset="0"/>
              <a:ea typeface="+mj-ea"/>
              <a:cs typeface="Times New Roman" panose="02020603050405020304" charset="0"/>
            </a:rPr>
            <a:t>2024.6</a:t>
          </a:r>
          <a:endParaRPr lang="zh-CN" altLang="en-US" sz="900" b="0">
            <a:solidFill>
              <a:srgbClr val="0070C0"/>
            </a:solidFill>
            <a:latin typeface="Times New Roman" panose="02020603050405020304" charset="0"/>
            <a:ea typeface="+mj-ea"/>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zh-CN" altLang="en-US" sz="900" b="0" kern="100">
              <a:solidFill>
                <a:srgbClr val="0070C0"/>
              </a:solidFill>
              <a:latin typeface="+mj-ea"/>
              <a:ea typeface="+mj-ea"/>
              <a:cs typeface="Times New Roman" panose="02020603050405020304"/>
            </a:rPr>
            <a:t>工业和信息化部</a:t>
          </a:r>
          <a:r>
            <a:rPr lang="en-US" altLang="zh-CN" sz="900" b="0" kern="100">
              <a:solidFill>
                <a:srgbClr val="0070C0"/>
              </a:solidFill>
              <a:latin typeface="+mj-ea"/>
              <a:ea typeface="+mj-ea"/>
              <a:cs typeface="Times New Roman" panose="02020603050405020304"/>
            </a:rPr>
            <a:t>			</a:t>
          </a:r>
          <a:r>
            <a:rPr lang="en-US" altLang="zh-CN" sz="900" b="0" kern="100" baseline="0">
              <a:solidFill>
                <a:srgbClr val="0070C0"/>
              </a:solidFill>
              <a:latin typeface="+mj-ea"/>
              <a:ea typeface="+mj-ea"/>
              <a:cs typeface="Times New Roman" panose="02020603050405020304"/>
            </a:rPr>
            <a:t>            </a:t>
          </a:r>
          <a:r>
            <a:rPr lang="en-US" altLang="zh-CN" sz="900" b="0" kern="100">
              <a:solidFill>
                <a:srgbClr val="0070C0"/>
              </a:solidFill>
              <a:latin typeface="Times New Roman" panose="02020603050405020304" charset="0"/>
              <a:ea typeface="+mj-ea"/>
              <a:cs typeface="Times New Roman" panose="02020603050405020304" charset="0"/>
            </a:rPr>
            <a:t>2024.6</a:t>
          </a:r>
          <a:endParaRPr lang="zh-CN" altLang="en-US" sz="900" b="0">
            <a:solidFill>
              <a:srgbClr val="0070C0"/>
            </a:solidFill>
            <a:latin typeface="Times New Roman" panose="02020603050405020304" charset="0"/>
            <a:ea typeface="+mj-ea"/>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zh-CN" altLang="en-US" sz="900" b="0" kern="100">
              <a:solidFill>
                <a:srgbClr val="0070C0"/>
              </a:solidFill>
              <a:latin typeface="+mj-ea"/>
              <a:ea typeface="+mj-ea"/>
              <a:cs typeface="Times New Roman" panose="02020603050405020304"/>
            </a:rPr>
            <a:t>工业和信息化部</a:t>
          </a:r>
          <a:r>
            <a:rPr lang="en-US" altLang="zh-CN" sz="900" b="0" kern="100">
              <a:solidFill>
                <a:srgbClr val="0070C0"/>
              </a:solidFill>
              <a:latin typeface="+mj-ea"/>
              <a:ea typeface="+mj-ea"/>
              <a:cs typeface="Times New Roman" panose="02020603050405020304"/>
            </a:rPr>
            <a:t>			</a:t>
          </a:r>
          <a:r>
            <a:rPr lang="en-US" altLang="zh-CN" sz="900" b="0" kern="100" baseline="0">
              <a:solidFill>
                <a:srgbClr val="0070C0"/>
              </a:solidFill>
              <a:latin typeface="+mj-ea"/>
              <a:ea typeface="+mj-ea"/>
              <a:cs typeface="Times New Roman" panose="02020603050405020304"/>
            </a:rPr>
            <a:t>            </a:t>
          </a:r>
          <a:r>
            <a:rPr lang="en-US" altLang="zh-CN" sz="900" b="0" kern="100">
              <a:solidFill>
                <a:srgbClr val="0070C0"/>
              </a:solidFill>
              <a:latin typeface="Times New Roman" panose="02020603050405020304" charset="0"/>
              <a:ea typeface="+mj-ea"/>
              <a:cs typeface="Times New Roman" panose="02020603050405020304" charset="0"/>
            </a:rPr>
            <a:t>2024.6</a:t>
          </a:r>
          <a:endParaRPr lang="zh-CN" altLang="en-US" sz="900" b="0">
            <a:solidFill>
              <a:srgbClr val="0070C0"/>
            </a:solidFill>
            <a:latin typeface="Times New Roman" panose="02020603050405020304" charset="0"/>
            <a:ea typeface="+mj-ea"/>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zh-CN" altLang="en-US" sz="900" b="0" kern="100">
              <a:solidFill>
                <a:srgbClr val="0070C0"/>
              </a:solidFill>
              <a:latin typeface="+mj-ea"/>
              <a:ea typeface="+mj-ea"/>
              <a:cs typeface="Times New Roman" panose="02020603050405020304"/>
            </a:rPr>
            <a:t>工业和信息化部     </a:t>
          </a:r>
          <a:r>
            <a:rPr lang="en-US" altLang="zh-CN" sz="900" b="0" kern="100">
              <a:solidFill>
                <a:srgbClr val="0070C0"/>
              </a:solidFill>
              <a:latin typeface="+mj-ea"/>
              <a:ea typeface="+mj-ea"/>
              <a:cs typeface="Times New Roman" panose="02020603050405020304"/>
            </a:rPr>
            <a:t>	</a:t>
          </a:r>
          <a:r>
            <a:rPr lang="en-US" altLang="zh-CN" sz="900" b="0" kern="100" baseline="0">
              <a:solidFill>
                <a:srgbClr val="0070C0"/>
              </a:solidFill>
              <a:latin typeface="+mj-ea"/>
              <a:ea typeface="+mj-ea"/>
              <a:cs typeface="Times New Roman" panose="02020603050405020304"/>
            </a:rPr>
            <a:t>                                       </a:t>
          </a:r>
          <a:r>
            <a:rPr lang="en-US" altLang="zh-CN" sz="900" b="0" kern="100">
              <a:solidFill>
                <a:srgbClr val="0070C0"/>
              </a:solidFill>
              <a:latin typeface="Times New Roman" panose="02020603050405020304" charset="0"/>
              <a:ea typeface="+mj-ea"/>
              <a:cs typeface="Times New Roman" panose="02020603050405020304" charset="0"/>
            </a:rPr>
            <a:t>2024.6</a:t>
          </a:r>
          <a:endParaRPr lang="zh-CN" altLang="en-US" sz="900" b="0">
            <a:solidFill>
              <a:srgbClr val="0070C0"/>
            </a:solidFill>
            <a:latin typeface="Times New Roman" panose="02020603050405020304" charset="0"/>
            <a:ea typeface="+mj-ea"/>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2"/>
    <customShpInfo spid="_x0000_s1026" textRotate="1"/>
    <customShpInfo spid="_x0000_s2055"/>
    <customShpInfo spid="_x0000_s2070"/>
  </customShpExts>
</s:custom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80C23-1E43-4E88-A8A9-4917F9163C80}">
  <ds:schemaRefs>
    <ds:schemaRef ds:uri="http://schemas.openxmlformats.org/officeDocument/2006/bibliography"/>
  </ds:schemaRefs>
</ds:datastoreItem>
</file>

<file path=customXml/itemProps2.xml><?xml version="1.0" encoding="utf-8"?>
<ds:datastoreItem xmlns:ds="http://schemas.openxmlformats.org/officeDocument/2006/customXml" ds:itemID="{5C6E6453-6583-47F7-8DFF-023FF2B9D5E9}">
  <ds:schemaRefs>
    <ds:schemaRef ds:uri="http://schemas.openxmlformats.org/officeDocument/2006/bibliography"/>
  </ds:schemaRefs>
</ds:datastoreItem>
</file>

<file path=customXml/itemProps3.xml><?xml version="1.0" encoding="utf-8"?>
<ds:datastoreItem xmlns:ds="http://schemas.openxmlformats.org/officeDocument/2006/customXml" ds:itemID="{A1BD740C-1E8D-4014-B461-FAF1880F11C7}">
  <ds:schemaRefs>
    <ds:schemaRef ds:uri="http://schemas.openxmlformats.org/officeDocument/2006/bibliography"/>
  </ds:schemaRefs>
</ds:datastoreItem>
</file>

<file path=customXml/itemProps4.xml><?xml version="1.0" encoding="utf-8"?>
<ds:datastoreItem xmlns:ds="http://schemas.openxmlformats.org/officeDocument/2006/customXml" ds:itemID="{084611B4-2A9F-4056-9950-26EB4DFDA9F8}">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BE413B37-F413-46E1-BF47-2ECA14A93F2B}">
  <ds:schemaRefs>
    <ds:schemaRef ds:uri="http://schemas.openxmlformats.org/officeDocument/2006/bibliography"/>
  </ds:schemaRefs>
</ds:datastoreItem>
</file>

<file path=customXml/itemProps7.xml><?xml version="1.0" encoding="utf-8"?>
<ds:datastoreItem xmlns:ds="http://schemas.openxmlformats.org/officeDocument/2006/customXml" ds:itemID="{9D15FAE1-46BD-45FF-8545-79A85D75ECAC}">
  <ds:schemaRefs>
    <ds:schemaRef ds:uri="http://schemas.openxmlformats.org/officeDocument/2006/bibliography"/>
  </ds:schemaRefs>
</ds:datastoreItem>
</file>

<file path=customXml/itemProps8.xml><?xml version="1.0" encoding="utf-8"?>
<ds:datastoreItem xmlns:ds="http://schemas.openxmlformats.org/officeDocument/2006/customXml" ds:itemID="{705E0BDF-560B-4EE5-A827-299B47ACD6D7}">
  <ds:schemaRefs>
    <ds:schemaRef ds:uri="http://schemas.openxmlformats.org/officeDocument/2006/bibliography"/>
  </ds:schemaRefs>
</ds:datastoreItem>
</file>

<file path=customXml/itemProps9.xml><?xml version="1.0" encoding="utf-8"?>
<ds:datastoreItem xmlns:ds="http://schemas.openxmlformats.org/officeDocument/2006/customXml" ds:itemID="{B8FEA0AF-1C97-4258-9AD9-8C145E912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63</Pages>
  <Words>4568</Words>
  <Characters>26041</Characters>
  <Application>Microsoft Office Word</Application>
  <DocSecurity>0</DocSecurity>
  <Lines>217</Lines>
  <Paragraphs>61</Paragraphs>
  <ScaleCrop>false</ScaleCrop>
  <Company/>
  <LinksUpToDate>false</LinksUpToDate>
  <CharactersWithSpaces>30548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CNNIC</dc:creator>
  <cp:lastModifiedBy>Administrator</cp:lastModifiedBy>
  <cp:revision>41</cp:revision>
  <cp:lastPrinted>2024-09-10T09:34:00Z</cp:lastPrinted>
  <dcterms:created xsi:type="dcterms:W3CDTF">2024-08-20T08:59:00Z</dcterms:created>
  <dcterms:modified xsi:type="dcterms:W3CDTF">2024-09-10T09:38:00Z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5FE104C9C8DA46E38D8E8E5AF8E42C31_12</vt:lpwstr>
  </property>
</Properties>
</file>